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52"/>
        <w:gridCol w:w="3697"/>
        <w:gridCol w:w="1802"/>
        <w:gridCol w:w="1311"/>
      </w:tblGrid>
      <w:tr w:rsidR="00E34B45" w:rsidRPr="008A10CE" w14:paraId="406DC720" w14:textId="77777777" w:rsidTr="00FF1C11">
        <w:tc>
          <w:tcPr>
            <w:tcW w:w="2252" w:type="dxa"/>
            <w:vMerge w:val="restart"/>
          </w:tcPr>
          <w:p w14:paraId="1F5EEA10" w14:textId="655A0924" w:rsidR="00E34B45" w:rsidRPr="008A10CE" w:rsidRDefault="00E34B45" w:rsidP="00FF1C11">
            <w:pPr>
              <w:spacing w:line="276" w:lineRule="auto"/>
              <w:jc w:val="center"/>
              <w:rPr>
                <w:rFonts w:ascii="Cambria" w:hAnsi="Cambria"/>
                <w:b/>
                <w:bCs/>
              </w:rPr>
            </w:pPr>
            <w:r w:rsidRPr="008A10CE">
              <w:rPr>
                <w:rFonts w:ascii="Cambria" w:hAnsi="Cambria"/>
                <w:b/>
                <w:bCs/>
              </w:rPr>
              <w:t>KSS GÜVENLİK HİZMETLER</w:t>
            </w:r>
            <w:r w:rsidR="005E320B">
              <w:rPr>
                <w:rFonts w:ascii="Cambria" w:hAnsi="Cambria"/>
                <w:b/>
                <w:bCs/>
              </w:rPr>
              <w:t>İ</w:t>
            </w:r>
            <w:r w:rsidRPr="008A10CE">
              <w:rPr>
                <w:rFonts w:ascii="Cambria" w:hAnsi="Cambria"/>
                <w:b/>
                <w:bCs/>
              </w:rPr>
              <w:t xml:space="preserve"> LTD ŞTİ </w:t>
            </w:r>
          </w:p>
        </w:tc>
        <w:tc>
          <w:tcPr>
            <w:tcW w:w="3697" w:type="dxa"/>
            <w:vMerge w:val="restart"/>
          </w:tcPr>
          <w:p w14:paraId="17462841" w14:textId="696A3BE2" w:rsidR="00E34B45" w:rsidRPr="008A10CE" w:rsidRDefault="00E34B45" w:rsidP="00FF1C11">
            <w:pPr>
              <w:spacing w:line="276" w:lineRule="auto"/>
              <w:jc w:val="center"/>
              <w:rPr>
                <w:rFonts w:ascii="Cambria" w:hAnsi="Cambria"/>
                <w:b/>
                <w:bCs/>
              </w:rPr>
            </w:pPr>
            <w:r>
              <w:rPr>
                <w:rFonts w:ascii="Cambria" w:hAnsi="Cambria"/>
                <w:b/>
                <w:bCs/>
              </w:rPr>
              <w:t>KİŞİSEL VERİLERİ SAKLAMA ve İMHA POLİTİKASI</w:t>
            </w:r>
          </w:p>
        </w:tc>
        <w:tc>
          <w:tcPr>
            <w:tcW w:w="1802" w:type="dxa"/>
          </w:tcPr>
          <w:p w14:paraId="7983012E" w14:textId="77777777" w:rsidR="00E34B45" w:rsidRPr="008A10CE" w:rsidRDefault="00E34B45" w:rsidP="00FF1C11">
            <w:pPr>
              <w:spacing w:line="276" w:lineRule="auto"/>
              <w:jc w:val="both"/>
              <w:rPr>
                <w:rFonts w:ascii="Cambria" w:hAnsi="Cambria"/>
              </w:rPr>
            </w:pPr>
            <w:r w:rsidRPr="008A10CE">
              <w:rPr>
                <w:rFonts w:ascii="Cambria" w:hAnsi="Cambria"/>
              </w:rPr>
              <w:t>Doküman No</w:t>
            </w:r>
          </w:p>
        </w:tc>
        <w:tc>
          <w:tcPr>
            <w:tcW w:w="1311" w:type="dxa"/>
          </w:tcPr>
          <w:p w14:paraId="31D12B10" w14:textId="0A70EDE9" w:rsidR="00E34B45" w:rsidRPr="008A10CE" w:rsidRDefault="00E34B45" w:rsidP="00FF1C11">
            <w:pPr>
              <w:spacing w:line="276" w:lineRule="auto"/>
              <w:jc w:val="both"/>
              <w:rPr>
                <w:rFonts w:ascii="Cambria" w:hAnsi="Cambria"/>
              </w:rPr>
            </w:pPr>
            <w:r w:rsidRPr="008A10CE">
              <w:rPr>
                <w:rFonts w:ascii="Cambria" w:hAnsi="Cambria"/>
              </w:rPr>
              <w:t>KVKK 1</w:t>
            </w:r>
            <w:r w:rsidR="00EF5E9D">
              <w:rPr>
                <w:rFonts w:ascii="Cambria" w:hAnsi="Cambria"/>
              </w:rPr>
              <w:t>2</w:t>
            </w:r>
          </w:p>
        </w:tc>
      </w:tr>
      <w:tr w:rsidR="00E34B45" w:rsidRPr="008A10CE" w14:paraId="21A9A8FD" w14:textId="77777777" w:rsidTr="00FF1C11">
        <w:tc>
          <w:tcPr>
            <w:tcW w:w="2252" w:type="dxa"/>
            <w:vMerge/>
          </w:tcPr>
          <w:p w14:paraId="4E7CE6F3" w14:textId="77777777" w:rsidR="00E34B45" w:rsidRPr="008A10CE" w:rsidRDefault="00E34B45" w:rsidP="00FF1C11">
            <w:pPr>
              <w:spacing w:line="276" w:lineRule="auto"/>
              <w:jc w:val="both"/>
              <w:rPr>
                <w:rFonts w:ascii="Cambria" w:hAnsi="Cambria"/>
              </w:rPr>
            </w:pPr>
          </w:p>
        </w:tc>
        <w:tc>
          <w:tcPr>
            <w:tcW w:w="3697" w:type="dxa"/>
            <w:vMerge/>
          </w:tcPr>
          <w:p w14:paraId="28B4C754" w14:textId="77777777" w:rsidR="00E34B45" w:rsidRPr="008A10CE" w:rsidRDefault="00E34B45" w:rsidP="00FF1C11">
            <w:pPr>
              <w:spacing w:line="276" w:lineRule="auto"/>
              <w:jc w:val="both"/>
              <w:rPr>
                <w:rFonts w:ascii="Cambria" w:hAnsi="Cambria"/>
              </w:rPr>
            </w:pPr>
          </w:p>
        </w:tc>
        <w:tc>
          <w:tcPr>
            <w:tcW w:w="1802" w:type="dxa"/>
          </w:tcPr>
          <w:p w14:paraId="3A4FAD32" w14:textId="77777777" w:rsidR="00E34B45" w:rsidRPr="008A10CE" w:rsidRDefault="00E34B45" w:rsidP="00FF1C11">
            <w:pPr>
              <w:spacing w:line="276" w:lineRule="auto"/>
              <w:jc w:val="both"/>
              <w:rPr>
                <w:rFonts w:ascii="Cambria" w:hAnsi="Cambria"/>
              </w:rPr>
            </w:pPr>
            <w:r w:rsidRPr="008A10CE">
              <w:rPr>
                <w:rFonts w:ascii="Cambria" w:hAnsi="Cambria"/>
              </w:rPr>
              <w:t>Yayın Tarihi</w:t>
            </w:r>
          </w:p>
        </w:tc>
        <w:tc>
          <w:tcPr>
            <w:tcW w:w="1311" w:type="dxa"/>
          </w:tcPr>
          <w:p w14:paraId="1DB41C2D" w14:textId="4A1DA556" w:rsidR="00E34B45" w:rsidRPr="008A10CE" w:rsidRDefault="00E34B45" w:rsidP="00FF1C11">
            <w:pPr>
              <w:spacing w:line="276" w:lineRule="auto"/>
              <w:jc w:val="both"/>
              <w:rPr>
                <w:rFonts w:ascii="Cambria" w:hAnsi="Cambria"/>
              </w:rPr>
            </w:pPr>
          </w:p>
        </w:tc>
      </w:tr>
      <w:tr w:rsidR="00E34B45" w:rsidRPr="008A10CE" w14:paraId="1338F668" w14:textId="77777777" w:rsidTr="00FF1C11">
        <w:tc>
          <w:tcPr>
            <w:tcW w:w="2252" w:type="dxa"/>
            <w:vMerge/>
          </w:tcPr>
          <w:p w14:paraId="04C4C60F" w14:textId="77777777" w:rsidR="00E34B45" w:rsidRPr="008A10CE" w:rsidRDefault="00E34B45" w:rsidP="00FF1C11">
            <w:pPr>
              <w:spacing w:line="276" w:lineRule="auto"/>
              <w:jc w:val="both"/>
              <w:rPr>
                <w:rFonts w:ascii="Cambria" w:hAnsi="Cambria"/>
              </w:rPr>
            </w:pPr>
          </w:p>
        </w:tc>
        <w:tc>
          <w:tcPr>
            <w:tcW w:w="3697" w:type="dxa"/>
            <w:vMerge/>
          </w:tcPr>
          <w:p w14:paraId="0BEEE041" w14:textId="77777777" w:rsidR="00E34B45" w:rsidRPr="008A10CE" w:rsidRDefault="00E34B45" w:rsidP="00FF1C11">
            <w:pPr>
              <w:spacing w:line="276" w:lineRule="auto"/>
              <w:jc w:val="both"/>
              <w:rPr>
                <w:rFonts w:ascii="Cambria" w:hAnsi="Cambria"/>
              </w:rPr>
            </w:pPr>
          </w:p>
        </w:tc>
        <w:tc>
          <w:tcPr>
            <w:tcW w:w="1802" w:type="dxa"/>
          </w:tcPr>
          <w:p w14:paraId="661DD6EE" w14:textId="77777777" w:rsidR="00E34B45" w:rsidRPr="008A10CE" w:rsidRDefault="00E34B45" w:rsidP="00FF1C11">
            <w:pPr>
              <w:spacing w:line="276" w:lineRule="auto"/>
              <w:jc w:val="both"/>
              <w:rPr>
                <w:rFonts w:ascii="Cambria" w:hAnsi="Cambria"/>
              </w:rPr>
            </w:pPr>
            <w:r w:rsidRPr="008A10CE">
              <w:rPr>
                <w:rFonts w:ascii="Cambria" w:hAnsi="Cambria"/>
              </w:rPr>
              <w:t>Re</w:t>
            </w:r>
            <w:r>
              <w:rPr>
                <w:rFonts w:ascii="Cambria" w:hAnsi="Cambria"/>
              </w:rPr>
              <w:t>viz</w:t>
            </w:r>
            <w:r w:rsidRPr="008A10CE">
              <w:rPr>
                <w:rFonts w:ascii="Cambria" w:hAnsi="Cambria"/>
              </w:rPr>
              <w:t>yon No</w:t>
            </w:r>
          </w:p>
        </w:tc>
        <w:tc>
          <w:tcPr>
            <w:tcW w:w="1311" w:type="dxa"/>
          </w:tcPr>
          <w:p w14:paraId="21CB66F1" w14:textId="77777777" w:rsidR="00E34B45" w:rsidRPr="008A10CE" w:rsidRDefault="00E34B45" w:rsidP="00FF1C11">
            <w:pPr>
              <w:spacing w:line="276" w:lineRule="auto"/>
              <w:jc w:val="both"/>
              <w:rPr>
                <w:rFonts w:ascii="Cambria" w:hAnsi="Cambria"/>
              </w:rPr>
            </w:pPr>
          </w:p>
        </w:tc>
      </w:tr>
      <w:tr w:rsidR="00E34B45" w:rsidRPr="008A10CE" w14:paraId="072F1D4C" w14:textId="77777777" w:rsidTr="00FF1C11">
        <w:tc>
          <w:tcPr>
            <w:tcW w:w="2252" w:type="dxa"/>
            <w:vMerge/>
          </w:tcPr>
          <w:p w14:paraId="0B51B8DE" w14:textId="77777777" w:rsidR="00E34B45" w:rsidRPr="008A10CE" w:rsidRDefault="00E34B45" w:rsidP="00FF1C11">
            <w:pPr>
              <w:spacing w:line="276" w:lineRule="auto"/>
              <w:jc w:val="both"/>
              <w:rPr>
                <w:rFonts w:ascii="Cambria" w:hAnsi="Cambria"/>
              </w:rPr>
            </w:pPr>
          </w:p>
        </w:tc>
        <w:tc>
          <w:tcPr>
            <w:tcW w:w="3697" w:type="dxa"/>
            <w:vMerge/>
          </w:tcPr>
          <w:p w14:paraId="592DE241" w14:textId="77777777" w:rsidR="00E34B45" w:rsidRPr="008A10CE" w:rsidRDefault="00E34B45" w:rsidP="00FF1C11">
            <w:pPr>
              <w:spacing w:line="276" w:lineRule="auto"/>
              <w:jc w:val="both"/>
              <w:rPr>
                <w:rFonts w:ascii="Cambria" w:hAnsi="Cambria"/>
              </w:rPr>
            </w:pPr>
          </w:p>
        </w:tc>
        <w:tc>
          <w:tcPr>
            <w:tcW w:w="1802" w:type="dxa"/>
          </w:tcPr>
          <w:p w14:paraId="504DCE00" w14:textId="77777777" w:rsidR="00E34B45" w:rsidRPr="008A10CE" w:rsidRDefault="00E34B45" w:rsidP="00FF1C11">
            <w:pPr>
              <w:spacing w:line="276" w:lineRule="auto"/>
              <w:jc w:val="both"/>
              <w:rPr>
                <w:rFonts w:ascii="Cambria" w:hAnsi="Cambria"/>
              </w:rPr>
            </w:pPr>
            <w:r w:rsidRPr="008A10CE">
              <w:rPr>
                <w:rFonts w:ascii="Cambria" w:hAnsi="Cambria"/>
              </w:rPr>
              <w:t xml:space="preserve">Revizyon Tarihi </w:t>
            </w:r>
          </w:p>
        </w:tc>
        <w:tc>
          <w:tcPr>
            <w:tcW w:w="1311" w:type="dxa"/>
          </w:tcPr>
          <w:p w14:paraId="53E4AF8A" w14:textId="77777777" w:rsidR="00E34B45" w:rsidRPr="008A10CE" w:rsidRDefault="00E34B45" w:rsidP="00FF1C11">
            <w:pPr>
              <w:spacing w:line="276" w:lineRule="auto"/>
              <w:jc w:val="both"/>
              <w:rPr>
                <w:rFonts w:ascii="Cambria" w:hAnsi="Cambria"/>
              </w:rPr>
            </w:pPr>
          </w:p>
        </w:tc>
      </w:tr>
    </w:tbl>
    <w:p w14:paraId="15C03973" w14:textId="77777777" w:rsidR="00E34B45" w:rsidRDefault="00E34B45">
      <w:pPr>
        <w:rPr>
          <w:rFonts w:ascii="Cambria" w:hAnsi="Cambria"/>
        </w:rPr>
      </w:pPr>
    </w:p>
    <w:p w14:paraId="3FD5EE7D" w14:textId="5FCF53B0" w:rsidR="00E34B45" w:rsidRPr="00D51D97" w:rsidRDefault="00E34B45" w:rsidP="00E34B45">
      <w:pPr>
        <w:pStyle w:val="ListeParagraf"/>
        <w:numPr>
          <w:ilvl w:val="0"/>
          <w:numId w:val="1"/>
        </w:numPr>
        <w:rPr>
          <w:rFonts w:ascii="Cambria" w:hAnsi="Cambria"/>
          <w:b/>
          <w:bCs/>
        </w:rPr>
      </w:pPr>
      <w:r w:rsidRPr="00D51D97">
        <w:rPr>
          <w:rFonts w:ascii="Cambria" w:hAnsi="Cambria"/>
          <w:b/>
          <w:bCs/>
        </w:rPr>
        <w:t>Kişisel Verileri Saklama ve İmha Politikasının Amacı</w:t>
      </w:r>
    </w:p>
    <w:p w14:paraId="1723E2C8" w14:textId="4100F9AC" w:rsidR="00E34B45" w:rsidRDefault="001772AF" w:rsidP="001772AF">
      <w:pPr>
        <w:jc w:val="both"/>
        <w:rPr>
          <w:rFonts w:ascii="Cambria" w:hAnsi="Cambria"/>
        </w:rPr>
      </w:pPr>
      <w:r w:rsidRPr="001772AF">
        <w:rPr>
          <w:rFonts w:ascii="Cambria" w:hAnsi="Cambria"/>
          <w:b/>
          <w:bCs/>
        </w:rPr>
        <w:t>1.1</w:t>
      </w:r>
      <w:r>
        <w:rPr>
          <w:rFonts w:ascii="Cambria" w:hAnsi="Cambria"/>
        </w:rPr>
        <w:t xml:space="preserve"> </w:t>
      </w:r>
      <w:r w:rsidR="00E34B45">
        <w:rPr>
          <w:rFonts w:ascii="Cambria" w:hAnsi="Cambria"/>
        </w:rPr>
        <w:t xml:space="preserve">İşbu Kişisel Verileri Saklama ve İmha </w:t>
      </w:r>
      <w:proofErr w:type="spellStart"/>
      <w:r w:rsidR="00E34B45">
        <w:rPr>
          <w:rFonts w:ascii="Cambria" w:hAnsi="Cambria"/>
        </w:rPr>
        <w:t>Politikası’nın</w:t>
      </w:r>
      <w:proofErr w:type="spellEnd"/>
      <w:r w:rsidR="00E34B45">
        <w:rPr>
          <w:rFonts w:ascii="Cambria" w:hAnsi="Cambria"/>
        </w:rPr>
        <w:t xml:space="preserve"> amacı, KSS Güvenlik Hizmetleri Limited Şirketi’nde hukuka uygun olarak Kişisel Verilerin Korunması ve İşlenmesi Politikası uyarınca toplanan, işlenen ve muhafaza edilen kişisel verilerin ne kadar süre ile muhafaza edileceğine ve bu sürenin sonunda imha edilmesine ilişkin düzenlemelerin yapılmasıdır.</w:t>
      </w:r>
    </w:p>
    <w:p w14:paraId="6AC151EC" w14:textId="7ED65C2C" w:rsidR="00E34B45" w:rsidRPr="00D51D97" w:rsidRDefault="00E34B45" w:rsidP="00E34B45">
      <w:pPr>
        <w:pStyle w:val="ListeParagraf"/>
        <w:numPr>
          <w:ilvl w:val="0"/>
          <w:numId w:val="1"/>
        </w:numPr>
        <w:jc w:val="both"/>
        <w:rPr>
          <w:rFonts w:ascii="Cambria" w:hAnsi="Cambria"/>
          <w:b/>
          <w:bCs/>
        </w:rPr>
      </w:pPr>
      <w:r w:rsidRPr="00D51D97">
        <w:rPr>
          <w:rFonts w:ascii="Cambria" w:hAnsi="Cambria"/>
          <w:b/>
          <w:bCs/>
        </w:rPr>
        <w:t>Kişisel Verileri Saklama ve İmha Politikasının Uygulanması ve Değişiklikler</w:t>
      </w:r>
    </w:p>
    <w:p w14:paraId="2B1CECE1" w14:textId="2CE2DE20" w:rsidR="00E34B45" w:rsidRDefault="001772AF" w:rsidP="001772AF">
      <w:pPr>
        <w:jc w:val="both"/>
        <w:rPr>
          <w:rFonts w:ascii="Cambria" w:hAnsi="Cambria"/>
        </w:rPr>
      </w:pPr>
      <w:r w:rsidRPr="001772AF">
        <w:rPr>
          <w:rFonts w:ascii="Cambria" w:hAnsi="Cambria"/>
          <w:b/>
          <w:bCs/>
        </w:rPr>
        <w:t>2.1</w:t>
      </w:r>
      <w:r>
        <w:rPr>
          <w:rFonts w:ascii="Cambria" w:hAnsi="Cambria"/>
        </w:rPr>
        <w:t xml:space="preserve"> </w:t>
      </w:r>
      <w:r w:rsidR="00E34B45">
        <w:rPr>
          <w:rFonts w:ascii="Cambria" w:hAnsi="Cambria"/>
        </w:rPr>
        <w:t xml:space="preserve">Kişisel Verileri Saklama ve İmha Politikası, KSS Güvenlik Hizmetleri Limited Şirketi tarafından yürürlüğe konulacak olup uygulanması, şirket tarafından görevlendirilen Kişisel Verileri Koruma Komisyonu tarafından takip edilir. </w:t>
      </w:r>
    </w:p>
    <w:p w14:paraId="4BBB5468" w14:textId="3501D4AF" w:rsidR="00E34B45" w:rsidRPr="00D51D97" w:rsidRDefault="00E34B45" w:rsidP="00E34B45">
      <w:pPr>
        <w:pStyle w:val="ListeParagraf"/>
        <w:numPr>
          <w:ilvl w:val="0"/>
          <w:numId w:val="1"/>
        </w:numPr>
        <w:jc w:val="both"/>
        <w:rPr>
          <w:rFonts w:ascii="Cambria" w:hAnsi="Cambria"/>
          <w:b/>
          <w:bCs/>
        </w:rPr>
      </w:pPr>
      <w:r w:rsidRPr="00D51D97">
        <w:rPr>
          <w:rFonts w:ascii="Cambria" w:hAnsi="Cambria"/>
          <w:b/>
          <w:bCs/>
        </w:rPr>
        <w:t xml:space="preserve">Tanımlar </w:t>
      </w:r>
    </w:p>
    <w:tbl>
      <w:tblPr>
        <w:tblStyle w:val="TabloKlavuzu"/>
        <w:tblW w:w="0" w:type="auto"/>
        <w:tblLook w:val="04A0" w:firstRow="1" w:lastRow="0" w:firstColumn="1" w:lastColumn="0" w:noHBand="0" w:noVBand="1"/>
      </w:tblPr>
      <w:tblGrid>
        <w:gridCol w:w="3539"/>
        <w:gridCol w:w="5523"/>
      </w:tblGrid>
      <w:tr w:rsidR="00E34B45" w14:paraId="09CA425A" w14:textId="77777777" w:rsidTr="00D51D97">
        <w:tc>
          <w:tcPr>
            <w:tcW w:w="3539" w:type="dxa"/>
            <w:shd w:val="clear" w:color="auto" w:fill="FFD966" w:themeFill="accent4" w:themeFillTint="99"/>
          </w:tcPr>
          <w:p w14:paraId="19453F91" w14:textId="3866FCB9"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KISALTMA</w:t>
            </w:r>
          </w:p>
        </w:tc>
        <w:tc>
          <w:tcPr>
            <w:tcW w:w="5523" w:type="dxa"/>
            <w:shd w:val="clear" w:color="auto" w:fill="FFD966" w:themeFill="accent4" w:themeFillTint="99"/>
          </w:tcPr>
          <w:p w14:paraId="10A44A7C" w14:textId="3A189F9C" w:rsidR="00E34B45" w:rsidRDefault="00E34B45" w:rsidP="00E34B45">
            <w:pPr>
              <w:jc w:val="both"/>
              <w:rPr>
                <w:rFonts w:ascii="Cambria" w:hAnsi="Cambria"/>
              </w:rPr>
            </w:pPr>
            <w:r>
              <w:rPr>
                <w:rFonts w:ascii="Cambria" w:hAnsi="Cambria"/>
              </w:rPr>
              <w:t>TANIM</w:t>
            </w:r>
          </w:p>
        </w:tc>
      </w:tr>
      <w:tr w:rsidR="00E34B45" w14:paraId="659660B2" w14:textId="77777777" w:rsidTr="00D51D97">
        <w:tc>
          <w:tcPr>
            <w:tcW w:w="3539" w:type="dxa"/>
            <w:shd w:val="clear" w:color="auto" w:fill="8EAADB" w:themeFill="accent1" w:themeFillTint="99"/>
          </w:tcPr>
          <w:p w14:paraId="2F603F3A" w14:textId="63E9F229"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KVKK</w:t>
            </w:r>
          </w:p>
        </w:tc>
        <w:tc>
          <w:tcPr>
            <w:tcW w:w="5523" w:type="dxa"/>
            <w:shd w:val="clear" w:color="auto" w:fill="F4B083" w:themeFill="accent2" w:themeFillTint="99"/>
          </w:tcPr>
          <w:p w14:paraId="1A666751" w14:textId="21696FCE" w:rsidR="00E34B45" w:rsidRDefault="00E34B45" w:rsidP="00E34B45">
            <w:pPr>
              <w:jc w:val="both"/>
              <w:rPr>
                <w:rFonts w:ascii="Cambria" w:hAnsi="Cambria"/>
              </w:rPr>
            </w:pPr>
            <w:r>
              <w:rPr>
                <w:rFonts w:ascii="Cambria" w:hAnsi="Cambria"/>
              </w:rPr>
              <w:t>6698 sayılı Kişisel Verilerin Korunması Kanunu</w:t>
            </w:r>
          </w:p>
        </w:tc>
      </w:tr>
      <w:tr w:rsidR="00E34B45" w14:paraId="2682C073" w14:textId="77777777" w:rsidTr="00D51D97">
        <w:tc>
          <w:tcPr>
            <w:tcW w:w="3539" w:type="dxa"/>
            <w:shd w:val="clear" w:color="auto" w:fill="8EAADB" w:themeFill="accent1" w:themeFillTint="99"/>
          </w:tcPr>
          <w:p w14:paraId="55087770" w14:textId="0148A6F4"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Kişisel Verileri Koruma Komisyonu</w:t>
            </w:r>
          </w:p>
        </w:tc>
        <w:tc>
          <w:tcPr>
            <w:tcW w:w="5523" w:type="dxa"/>
            <w:shd w:val="clear" w:color="auto" w:fill="F4B083" w:themeFill="accent2" w:themeFillTint="99"/>
          </w:tcPr>
          <w:p w14:paraId="40DAD74F" w14:textId="37878166" w:rsidR="00E34B45" w:rsidRDefault="00E34B45" w:rsidP="00E34B45">
            <w:pPr>
              <w:jc w:val="both"/>
              <w:rPr>
                <w:rFonts w:ascii="Cambria" w:hAnsi="Cambria"/>
              </w:rPr>
            </w:pPr>
            <w:r>
              <w:rPr>
                <w:rFonts w:ascii="Cambria" w:hAnsi="Cambria"/>
              </w:rPr>
              <w:t xml:space="preserve">KSS Güvenlik Hizmetleri Limited Şirketi bünyesinde müdür kararıyla </w:t>
            </w:r>
            <w:proofErr w:type="spellStart"/>
            <w:r>
              <w:rPr>
                <w:rFonts w:ascii="Cambria" w:hAnsi="Cambria"/>
              </w:rPr>
              <w:t>oluşturuan</w:t>
            </w:r>
            <w:proofErr w:type="spellEnd"/>
            <w:r>
              <w:rPr>
                <w:rFonts w:ascii="Cambria" w:hAnsi="Cambria"/>
              </w:rPr>
              <w:t xml:space="preserve"> ve kişisel verilerin korunması ve işlenmesine ilişkin şirket içi işleyişten sorumlu Kişisel Verileri Koruma Komisyonu’nu</w:t>
            </w:r>
          </w:p>
        </w:tc>
      </w:tr>
      <w:tr w:rsidR="00E34B45" w14:paraId="185EA74A" w14:textId="77777777" w:rsidTr="00D51D97">
        <w:tc>
          <w:tcPr>
            <w:tcW w:w="3539" w:type="dxa"/>
            <w:shd w:val="clear" w:color="auto" w:fill="8EAADB" w:themeFill="accent1" w:themeFillTint="99"/>
          </w:tcPr>
          <w:p w14:paraId="011DD1F3" w14:textId="56D7F65F"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Kişisel Verilerin Anonim Hale Getirilmesi</w:t>
            </w:r>
          </w:p>
        </w:tc>
        <w:tc>
          <w:tcPr>
            <w:tcW w:w="5523" w:type="dxa"/>
            <w:shd w:val="clear" w:color="auto" w:fill="F4B083" w:themeFill="accent2" w:themeFillTint="99"/>
          </w:tcPr>
          <w:p w14:paraId="700C0668" w14:textId="5C606387" w:rsidR="00E34B45" w:rsidRDefault="00E34B45" w:rsidP="00E34B45">
            <w:pPr>
              <w:jc w:val="both"/>
              <w:rPr>
                <w:rFonts w:ascii="Cambria" w:hAnsi="Cambria"/>
              </w:rPr>
            </w:pPr>
            <w:r>
              <w:rPr>
                <w:rFonts w:ascii="Cambria" w:hAnsi="Cambria"/>
              </w:rPr>
              <w:t xml:space="preserve">Kişisel verilerin başka verilerle eşleştirilse dahi hiçbir surette kimliği belirli veya belirlenebilir bir gerçek kişiyle ilişkilendirilemeyecek hale getirilmesini, </w:t>
            </w:r>
          </w:p>
        </w:tc>
      </w:tr>
      <w:tr w:rsidR="00E34B45" w14:paraId="1907A508" w14:textId="77777777" w:rsidTr="00D51D97">
        <w:tc>
          <w:tcPr>
            <w:tcW w:w="3539" w:type="dxa"/>
            <w:shd w:val="clear" w:color="auto" w:fill="8EAADB" w:themeFill="accent1" w:themeFillTint="99"/>
          </w:tcPr>
          <w:p w14:paraId="0244894B" w14:textId="06263E7D"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Kişisel Verilerin İmha Edilmesi</w:t>
            </w:r>
          </w:p>
        </w:tc>
        <w:tc>
          <w:tcPr>
            <w:tcW w:w="5523" w:type="dxa"/>
            <w:shd w:val="clear" w:color="auto" w:fill="F4B083" w:themeFill="accent2" w:themeFillTint="99"/>
          </w:tcPr>
          <w:p w14:paraId="1A53B9B2" w14:textId="3738EB70" w:rsidR="00E34B45" w:rsidRDefault="00E34B45" w:rsidP="00E34B45">
            <w:pPr>
              <w:jc w:val="both"/>
              <w:rPr>
                <w:rFonts w:ascii="Cambria" w:hAnsi="Cambria"/>
              </w:rPr>
            </w:pPr>
            <w:r>
              <w:rPr>
                <w:rFonts w:ascii="Cambria" w:hAnsi="Cambria"/>
              </w:rPr>
              <w:t>Kişisel verilerin silinmesi, yok edilmesi veya anonim hale getirilmesi,</w:t>
            </w:r>
          </w:p>
        </w:tc>
      </w:tr>
      <w:tr w:rsidR="00E34B45" w14:paraId="5626ACB9" w14:textId="77777777" w:rsidTr="00D51D97">
        <w:tc>
          <w:tcPr>
            <w:tcW w:w="3539" w:type="dxa"/>
            <w:shd w:val="clear" w:color="auto" w:fill="8EAADB" w:themeFill="accent1" w:themeFillTint="99"/>
          </w:tcPr>
          <w:p w14:paraId="5552D356" w14:textId="6E50290A"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Kişisel Verilerin Silinmesi</w:t>
            </w:r>
          </w:p>
        </w:tc>
        <w:tc>
          <w:tcPr>
            <w:tcW w:w="5523" w:type="dxa"/>
            <w:shd w:val="clear" w:color="auto" w:fill="F4B083" w:themeFill="accent2" w:themeFillTint="99"/>
          </w:tcPr>
          <w:p w14:paraId="65826341" w14:textId="5698D749" w:rsidR="00E34B45" w:rsidRDefault="00E34B45" w:rsidP="00E34B45">
            <w:pPr>
              <w:jc w:val="both"/>
              <w:rPr>
                <w:rFonts w:ascii="Cambria" w:hAnsi="Cambria"/>
              </w:rPr>
            </w:pPr>
            <w:r>
              <w:rPr>
                <w:rFonts w:ascii="Cambria" w:hAnsi="Cambria"/>
              </w:rPr>
              <w:t>Kişisel verilerin ilgili kullanıcılar için hiçbir şekilde erişilemez ve tekrar kullanılamaz hale getirilmesi işlemi</w:t>
            </w:r>
          </w:p>
        </w:tc>
      </w:tr>
      <w:tr w:rsidR="00E34B45" w14:paraId="324335C9" w14:textId="77777777" w:rsidTr="00D51D97">
        <w:tc>
          <w:tcPr>
            <w:tcW w:w="3539" w:type="dxa"/>
            <w:shd w:val="clear" w:color="auto" w:fill="8EAADB" w:themeFill="accent1" w:themeFillTint="99"/>
          </w:tcPr>
          <w:p w14:paraId="24BD1591" w14:textId="63AD47EB"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Kişisel Verilerin Yok Edilmesi</w:t>
            </w:r>
          </w:p>
        </w:tc>
        <w:tc>
          <w:tcPr>
            <w:tcW w:w="5523" w:type="dxa"/>
            <w:shd w:val="clear" w:color="auto" w:fill="F4B083" w:themeFill="accent2" w:themeFillTint="99"/>
          </w:tcPr>
          <w:p w14:paraId="04F125C9" w14:textId="2EB8294D" w:rsidR="00E34B45" w:rsidRDefault="00E34B45" w:rsidP="00E34B45">
            <w:pPr>
              <w:jc w:val="both"/>
              <w:rPr>
                <w:rFonts w:ascii="Cambria" w:hAnsi="Cambria"/>
              </w:rPr>
            </w:pPr>
            <w:proofErr w:type="spellStart"/>
            <w:r>
              <w:rPr>
                <w:rFonts w:ascii="Cambria" w:hAnsi="Cambria"/>
              </w:rPr>
              <w:t>Kişsiel</w:t>
            </w:r>
            <w:proofErr w:type="spellEnd"/>
            <w:r>
              <w:rPr>
                <w:rFonts w:ascii="Cambria" w:hAnsi="Cambria"/>
              </w:rPr>
              <w:t xml:space="preserve"> verilerin hiç kimse tarafından hiçbir şekilde erişilemez, geri getirilemez ve tekrar kullanılamaz hale getirilmesi işlemi</w:t>
            </w:r>
          </w:p>
        </w:tc>
      </w:tr>
      <w:tr w:rsidR="00E34B45" w14:paraId="18586FFA" w14:textId="77777777" w:rsidTr="00D51D97">
        <w:tc>
          <w:tcPr>
            <w:tcW w:w="3539" w:type="dxa"/>
            <w:shd w:val="clear" w:color="auto" w:fill="8EAADB" w:themeFill="accent1" w:themeFillTint="99"/>
          </w:tcPr>
          <w:p w14:paraId="57732879" w14:textId="015750B5"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Politika</w:t>
            </w:r>
          </w:p>
        </w:tc>
        <w:tc>
          <w:tcPr>
            <w:tcW w:w="5523" w:type="dxa"/>
            <w:shd w:val="clear" w:color="auto" w:fill="F4B083" w:themeFill="accent2" w:themeFillTint="99"/>
          </w:tcPr>
          <w:p w14:paraId="77E49C98" w14:textId="237E3F9D" w:rsidR="00E34B45" w:rsidRDefault="00E34B45" w:rsidP="00E34B45">
            <w:pPr>
              <w:jc w:val="both"/>
              <w:rPr>
                <w:rFonts w:ascii="Cambria" w:hAnsi="Cambria"/>
              </w:rPr>
            </w:pPr>
            <w:r>
              <w:rPr>
                <w:rFonts w:ascii="Cambria" w:hAnsi="Cambria"/>
              </w:rPr>
              <w:t>Kişisel Verileri Saklama ve İmha Politikası</w:t>
            </w:r>
          </w:p>
        </w:tc>
      </w:tr>
      <w:tr w:rsidR="00E34B45" w14:paraId="72A7DD45" w14:textId="77777777" w:rsidTr="00D51D97">
        <w:tc>
          <w:tcPr>
            <w:tcW w:w="3539" w:type="dxa"/>
            <w:shd w:val="clear" w:color="auto" w:fill="8EAADB" w:themeFill="accent1" w:themeFillTint="99"/>
          </w:tcPr>
          <w:p w14:paraId="13CC8DEF" w14:textId="6F2D1D3F"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 xml:space="preserve">Şirket </w:t>
            </w:r>
          </w:p>
        </w:tc>
        <w:tc>
          <w:tcPr>
            <w:tcW w:w="5523" w:type="dxa"/>
            <w:shd w:val="clear" w:color="auto" w:fill="F4B083" w:themeFill="accent2" w:themeFillTint="99"/>
          </w:tcPr>
          <w:p w14:paraId="296DC193" w14:textId="3208F3D5" w:rsidR="00E34B45" w:rsidRDefault="00E34B45" w:rsidP="00E34B45">
            <w:pPr>
              <w:jc w:val="both"/>
              <w:rPr>
                <w:rFonts w:ascii="Cambria" w:hAnsi="Cambria"/>
              </w:rPr>
            </w:pPr>
            <w:r>
              <w:rPr>
                <w:rFonts w:ascii="Cambria" w:hAnsi="Cambria"/>
              </w:rPr>
              <w:t xml:space="preserve">KSS Güvenlik Hizmetleri Limited Şirketi </w:t>
            </w:r>
          </w:p>
        </w:tc>
      </w:tr>
      <w:tr w:rsidR="00E34B45" w14:paraId="1C05C999" w14:textId="77777777" w:rsidTr="00D51D97">
        <w:tc>
          <w:tcPr>
            <w:tcW w:w="3539" w:type="dxa"/>
            <w:shd w:val="clear" w:color="auto" w:fill="8EAADB" w:themeFill="accent1" w:themeFillTint="99"/>
          </w:tcPr>
          <w:p w14:paraId="2CE09B1A" w14:textId="6723E327" w:rsidR="00E34B45" w:rsidRPr="00D51D97" w:rsidRDefault="00E34B45" w:rsidP="00E34B45">
            <w:pPr>
              <w:jc w:val="both"/>
              <w:rPr>
                <w:rFonts w:ascii="Cambria" w:hAnsi="Cambria"/>
                <w:color w:val="FFFFFF" w:themeColor="background1"/>
              </w:rPr>
            </w:pPr>
            <w:r w:rsidRPr="00D51D97">
              <w:rPr>
                <w:rFonts w:ascii="Cambria" w:hAnsi="Cambria"/>
                <w:color w:val="FFFFFF" w:themeColor="background1"/>
              </w:rPr>
              <w:t xml:space="preserve">Yönetmelik </w:t>
            </w:r>
          </w:p>
        </w:tc>
        <w:tc>
          <w:tcPr>
            <w:tcW w:w="5523" w:type="dxa"/>
            <w:shd w:val="clear" w:color="auto" w:fill="F4B083" w:themeFill="accent2" w:themeFillTint="99"/>
          </w:tcPr>
          <w:p w14:paraId="3FAAF1A9" w14:textId="5850197D" w:rsidR="00E34B45" w:rsidRDefault="00D51D97" w:rsidP="00E34B45">
            <w:pPr>
              <w:jc w:val="both"/>
              <w:rPr>
                <w:rFonts w:ascii="Cambria" w:hAnsi="Cambria"/>
              </w:rPr>
            </w:pPr>
            <w:r>
              <w:rPr>
                <w:rFonts w:ascii="Cambria" w:hAnsi="Cambria"/>
              </w:rPr>
              <w:t xml:space="preserve">28.10.2017 tarihli </w:t>
            </w:r>
            <w:proofErr w:type="gramStart"/>
            <w:r>
              <w:rPr>
                <w:rFonts w:ascii="Cambria" w:hAnsi="Cambria"/>
              </w:rPr>
              <w:t>Resmi</w:t>
            </w:r>
            <w:proofErr w:type="gramEnd"/>
            <w:r>
              <w:rPr>
                <w:rFonts w:ascii="Cambria" w:hAnsi="Cambria"/>
              </w:rPr>
              <w:t xml:space="preserve"> Gazete’de yayımlanarak yürürlüğe giren Kişisel Verilerin Silinmesi, Yok Edilmesi veya Anonim Hale Getirilmesi Hakkında Yönetmelik</w:t>
            </w:r>
          </w:p>
        </w:tc>
      </w:tr>
    </w:tbl>
    <w:p w14:paraId="691F8EA9" w14:textId="77777777" w:rsidR="00E34B45" w:rsidRDefault="00E34B45" w:rsidP="00E34B45">
      <w:pPr>
        <w:jc w:val="both"/>
        <w:rPr>
          <w:rFonts w:ascii="Cambria" w:hAnsi="Cambria"/>
        </w:rPr>
      </w:pPr>
    </w:p>
    <w:p w14:paraId="69DE6A80" w14:textId="77777777" w:rsidR="001772AF" w:rsidRDefault="001772AF" w:rsidP="00E34B45">
      <w:pPr>
        <w:jc w:val="both"/>
        <w:rPr>
          <w:rFonts w:ascii="Cambria" w:hAnsi="Cambria"/>
        </w:rPr>
      </w:pPr>
    </w:p>
    <w:p w14:paraId="082FA1E9" w14:textId="3B739494" w:rsidR="00D51D97" w:rsidRPr="001125CC" w:rsidRDefault="00D51D97" w:rsidP="00D51D97">
      <w:pPr>
        <w:pStyle w:val="ListeParagraf"/>
        <w:numPr>
          <w:ilvl w:val="0"/>
          <w:numId w:val="1"/>
        </w:numPr>
        <w:jc w:val="both"/>
        <w:rPr>
          <w:rFonts w:ascii="Cambria" w:hAnsi="Cambria"/>
          <w:b/>
          <w:bCs/>
        </w:rPr>
      </w:pPr>
      <w:r w:rsidRPr="001125CC">
        <w:rPr>
          <w:rFonts w:ascii="Cambria" w:hAnsi="Cambria"/>
          <w:b/>
          <w:bCs/>
        </w:rPr>
        <w:lastRenderedPageBreak/>
        <w:t>Kişisel Verilerin Kaydedildiği Ortamlar</w:t>
      </w:r>
    </w:p>
    <w:p w14:paraId="32934DDC" w14:textId="13933FA7" w:rsidR="00D51D97" w:rsidRDefault="001772AF" w:rsidP="001772AF">
      <w:pPr>
        <w:jc w:val="both"/>
        <w:rPr>
          <w:rFonts w:ascii="Cambria" w:hAnsi="Cambria"/>
        </w:rPr>
      </w:pPr>
      <w:r w:rsidRPr="001772AF">
        <w:rPr>
          <w:rFonts w:ascii="Cambria" w:hAnsi="Cambria"/>
          <w:b/>
          <w:bCs/>
        </w:rPr>
        <w:t>4.1</w:t>
      </w:r>
      <w:r>
        <w:rPr>
          <w:rFonts w:ascii="Cambria" w:hAnsi="Cambria"/>
        </w:rPr>
        <w:t xml:space="preserve"> </w:t>
      </w:r>
      <w:r w:rsidR="00D51D97">
        <w:rPr>
          <w:rFonts w:ascii="Cambria" w:hAnsi="Cambria"/>
        </w:rPr>
        <w:t xml:space="preserve">Şirket, </w:t>
      </w:r>
      <w:proofErr w:type="spellStart"/>
      <w:r w:rsidR="00D51D97">
        <w:rPr>
          <w:rFonts w:ascii="Cambria" w:hAnsi="Cambria"/>
        </w:rPr>
        <w:t>KVKK’ya</w:t>
      </w:r>
      <w:proofErr w:type="spellEnd"/>
      <w:r w:rsidR="00D51D97">
        <w:rPr>
          <w:rFonts w:ascii="Cambria" w:hAnsi="Cambria"/>
        </w:rPr>
        <w:t xml:space="preserve"> uygun olarak ve Kişisel Verilerin Korunması ve İşlenmesi Politikası uyarınca gerçekleştirmekte olduğu kişisel veri işleme faaliyetleri kapsamında elde ettiği kişisel verileri, işleme amacının gerektirdiği ölçü ile sınırlı olmak kaydıyla muhafaza etmektedir. Bu kapsamda, elde edilen kişisel veriler şirket tarafından fiziki ve dijital/elektronik ortamlarda saklanmaktadır. </w:t>
      </w:r>
    </w:p>
    <w:p w14:paraId="1A73A0B6" w14:textId="3F096459" w:rsidR="00D51D97" w:rsidRPr="001125CC" w:rsidRDefault="00D51D97" w:rsidP="00D51D97">
      <w:pPr>
        <w:pStyle w:val="ListeParagraf"/>
        <w:numPr>
          <w:ilvl w:val="0"/>
          <w:numId w:val="1"/>
        </w:numPr>
        <w:jc w:val="both"/>
        <w:rPr>
          <w:rFonts w:ascii="Cambria" w:hAnsi="Cambria"/>
          <w:b/>
          <w:bCs/>
        </w:rPr>
      </w:pPr>
      <w:r w:rsidRPr="001125CC">
        <w:rPr>
          <w:rFonts w:ascii="Cambria" w:hAnsi="Cambria"/>
          <w:b/>
          <w:bCs/>
        </w:rPr>
        <w:t xml:space="preserve">Kişisel Verilerin Saklanmasını ve İmhasını Gerektiren Hukuki Teknik ve Diğer Sebepler </w:t>
      </w:r>
    </w:p>
    <w:p w14:paraId="60ED1204" w14:textId="48668743" w:rsidR="00D51D97" w:rsidRDefault="001772AF" w:rsidP="001772AF">
      <w:pPr>
        <w:jc w:val="both"/>
        <w:rPr>
          <w:rFonts w:ascii="Cambria" w:hAnsi="Cambria"/>
        </w:rPr>
      </w:pPr>
      <w:r w:rsidRPr="001772AF">
        <w:rPr>
          <w:rFonts w:ascii="Cambria" w:hAnsi="Cambria"/>
          <w:b/>
          <w:bCs/>
        </w:rPr>
        <w:t>5.1</w:t>
      </w:r>
      <w:r>
        <w:rPr>
          <w:rFonts w:ascii="Cambria" w:hAnsi="Cambria"/>
        </w:rPr>
        <w:t xml:space="preserve"> </w:t>
      </w:r>
      <w:r w:rsidR="00D51D97">
        <w:rPr>
          <w:rFonts w:ascii="Cambria" w:hAnsi="Cambria"/>
        </w:rPr>
        <w:t xml:space="preserve">Şirket, ticari faaliyetlerine ilişkin kişisel veri içeren bilgi ve belgeleri, 5188 sayılı Özel Güvenlik Hizmetleri Dair Kanun, 6102 sayılı Türk Ticaret Kanunu, 633 sayılı Vergi Usul Kanunu, 5510 sayılı Sosyal Sigortalar ve Genel Sağlık Sigortası Kanunu, 6331 sayılı İş Sağlığı ve Güvenliği Kanunu, 4857 sayılı İş Kanunu ve ilgili diğer mevzuattan kaynaklanan hukuki yükümlülüklerinin yerine getirilmesi ve KVKK m.5 ile m.6 uyarınca Kişisel Verilerin Korunması ve İşlenmesi </w:t>
      </w:r>
      <w:proofErr w:type="spellStart"/>
      <w:r w:rsidR="00D51D97">
        <w:rPr>
          <w:rFonts w:ascii="Cambria" w:hAnsi="Cambria"/>
        </w:rPr>
        <w:t>Politikası’nda</w:t>
      </w:r>
      <w:proofErr w:type="spellEnd"/>
      <w:r w:rsidR="00D51D97">
        <w:rPr>
          <w:rFonts w:ascii="Cambria" w:hAnsi="Cambria"/>
        </w:rPr>
        <w:t xml:space="preserve"> belirtilen diğer kişisel veri işleme şart ve amaçları doğrultusunda belirli süreler boyunca saklamakta olup ilgili saklama süreleri işbu </w:t>
      </w:r>
      <w:proofErr w:type="spellStart"/>
      <w:r w:rsidR="00D51D97">
        <w:rPr>
          <w:rFonts w:ascii="Cambria" w:hAnsi="Cambria"/>
        </w:rPr>
        <w:t>Politika’nın</w:t>
      </w:r>
      <w:proofErr w:type="spellEnd"/>
      <w:r w:rsidR="00D51D97">
        <w:rPr>
          <w:rFonts w:ascii="Cambria" w:hAnsi="Cambria"/>
        </w:rPr>
        <w:t xml:space="preserve"> ekinde belirtilmektedir. </w:t>
      </w:r>
    </w:p>
    <w:p w14:paraId="60D47D8A" w14:textId="15A1EA92" w:rsidR="00D51D97" w:rsidRPr="00D51D97" w:rsidRDefault="001772AF" w:rsidP="001772AF">
      <w:pPr>
        <w:jc w:val="both"/>
        <w:rPr>
          <w:rFonts w:ascii="Cambria" w:hAnsi="Cambria"/>
        </w:rPr>
      </w:pPr>
      <w:r w:rsidRPr="001772AF">
        <w:rPr>
          <w:rFonts w:ascii="Cambria" w:hAnsi="Cambria"/>
          <w:b/>
          <w:bCs/>
        </w:rPr>
        <w:t>5.2</w:t>
      </w:r>
      <w:r>
        <w:rPr>
          <w:rFonts w:ascii="Cambria" w:hAnsi="Cambria"/>
        </w:rPr>
        <w:t xml:space="preserve"> </w:t>
      </w:r>
      <w:r w:rsidR="00D51D97" w:rsidRPr="00D51D97">
        <w:rPr>
          <w:rFonts w:ascii="Cambria" w:hAnsi="Cambria"/>
        </w:rPr>
        <w:t xml:space="preserve">Kişisel veriler, KVKK ve </w:t>
      </w:r>
      <w:r w:rsidR="00D51D97" w:rsidRPr="00D51D97">
        <w:rPr>
          <w:rFonts w:ascii="Cambria" w:hAnsi="Cambria"/>
          <w:i/>
        </w:rPr>
        <w:t xml:space="preserve">Kişisel Verilerin Korunması ve İşlenmesi </w:t>
      </w:r>
      <w:proofErr w:type="spellStart"/>
      <w:r w:rsidR="00D51D97" w:rsidRPr="00D51D97">
        <w:rPr>
          <w:rFonts w:ascii="Cambria" w:hAnsi="Cambria"/>
          <w:i/>
        </w:rPr>
        <w:t>Politikası</w:t>
      </w:r>
      <w:r w:rsidR="00D51D97" w:rsidRPr="00D51D97">
        <w:rPr>
          <w:rFonts w:ascii="Cambria" w:hAnsi="Cambria"/>
        </w:rPr>
        <w:t>’na</w:t>
      </w:r>
      <w:proofErr w:type="spellEnd"/>
      <w:r w:rsidR="00D51D97" w:rsidRPr="00D51D97">
        <w:rPr>
          <w:rFonts w:ascii="Cambria" w:hAnsi="Cambria"/>
        </w:rPr>
        <w:t xml:space="preserve"> uygun olarak kişisel verilerin muhafaza edilmesini gerektiren sebeplerin ortadan kalkması halinde imha edilmektedir. Ayrıca, ilgili kişinin açık rızasına dayalı olarak saklanan kişisel veriler, rızanın ilgili kişi tarafından geri alınması halinde </w:t>
      </w:r>
      <w:r w:rsidR="00D51D97">
        <w:rPr>
          <w:rFonts w:ascii="Cambria" w:hAnsi="Cambria"/>
        </w:rPr>
        <w:t xml:space="preserve">ise </w:t>
      </w:r>
      <w:r w:rsidR="00D51D97" w:rsidRPr="00D51D97">
        <w:rPr>
          <w:rFonts w:ascii="Cambria" w:hAnsi="Cambria"/>
        </w:rPr>
        <w:t xml:space="preserve">talebin haklı bulunması halinde derhal imha edilmektedir. İlgili kişinin, </w:t>
      </w:r>
      <w:proofErr w:type="spellStart"/>
      <w:r w:rsidR="00D51D97" w:rsidRPr="00D51D97">
        <w:rPr>
          <w:rFonts w:ascii="Cambria" w:hAnsi="Cambria"/>
        </w:rPr>
        <w:t>KVKK’nın</w:t>
      </w:r>
      <w:proofErr w:type="spellEnd"/>
      <w:r w:rsidR="00D51D97" w:rsidRPr="00D51D97">
        <w:rPr>
          <w:rFonts w:ascii="Cambria" w:hAnsi="Cambria"/>
        </w:rPr>
        <w:t xml:space="preserve"> 11. maddesinde yer alan hakları kapsamında, kişisel verilerinin silinmesi talebini </w:t>
      </w:r>
      <w:r w:rsidR="001125CC">
        <w:rPr>
          <w:rFonts w:ascii="Cambria" w:hAnsi="Cambria"/>
        </w:rPr>
        <w:t>şirkete</w:t>
      </w:r>
      <w:r w:rsidR="00D51D97" w:rsidRPr="00D51D97">
        <w:rPr>
          <w:rFonts w:ascii="Cambria" w:hAnsi="Cambria"/>
        </w:rPr>
        <w:t xml:space="preserve"> iletmiş olduğu durumlarda, Kişisel Verileri Koruma Komisyonu tarafından söz konusu talep değerlendirilmekte ve </w:t>
      </w:r>
      <w:proofErr w:type="spellStart"/>
      <w:r w:rsidR="00D51D97" w:rsidRPr="00D51D97">
        <w:rPr>
          <w:rFonts w:ascii="Cambria" w:hAnsi="Cambria"/>
        </w:rPr>
        <w:t>KVKK’da</w:t>
      </w:r>
      <w:proofErr w:type="spellEnd"/>
      <w:r w:rsidR="00D51D97" w:rsidRPr="00D51D97">
        <w:rPr>
          <w:rFonts w:ascii="Cambria" w:hAnsi="Cambria"/>
        </w:rPr>
        <w:t xml:space="preserve"> belirtilen kişisel veri işleme şartlarının; </w:t>
      </w:r>
    </w:p>
    <w:p w14:paraId="52E0F684" w14:textId="77777777" w:rsidR="00D51D97" w:rsidRPr="00D51D97" w:rsidRDefault="00D51D97" w:rsidP="00D51D97">
      <w:pPr>
        <w:jc w:val="both"/>
        <w:rPr>
          <w:rFonts w:ascii="Cambria" w:hAnsi="Cambria"/>
        </w:rPr>
      </w:pPr>
      <w:r w:rsidRPr="00D51D97">
        <w:rPr>
          <w:rFonts w:ascii="Cambria" w:hAnsi="Cambria"/>
        </w:rPr>
        <w:t>(i) tamamının ortadan kalkmış olduğunun tespit edilmesi halinde kişisel veriler usulüne uygun olarak imha edilmekte ve ilgili kişinin talebi en geç otuz gün içinde sonuçlandırılarak kendisine bilgi vermektedir.</w:t>
      </w:r>
    </w:p>
    <w:p w14:paraId="1B5E0890" w14:textId="5410CCD5" w:rsidR="00D51D97" w:rsidRPr="00D51D97" w:rsidRDefault="00D51D97" w:rsidP="00D51D97">
      <w:pPr>
        <w:jc w:val="both"/>
        <w:rPr>
          <w:rFonts w:ascii="Cambria" w:hAnsi="Cambria"/>
        </w:rPr>
      </w:pPr>
      <w:r w:rsidRPr="00D51D97">
        <w:rPr>
          <w:rFonts w:ascii="Cambria" w:hAnsi="Cambria"/>
        </w:rPr>
        <w:t xml:space="preserve">(ii) tamamının ortadan kalkmış ve talebe konu olan kişisel verilerin üçüncü kişilere aktarılmış olduğunun tespit edilmesi halinde, </w:t>
      </w:r>
      <w:r w:rsidR="001125CC">
        <w:rPr>
          <w:rFonts w:ascii="Cambria" w:hAnsi="Cambria"/>
        </w:rPr>
        <w:t>şirket</w:t>
      </w:r>
      <w:r w:rsidRPr="00D51D97">
        <w:rPr>
          <w:rFonts w:ascii="Cambria" w:hAnsi="Cambria"/>
        </w:rPr>
        <w:t xml:space="preserve"> bu durumu kişisel verilerin aktarıldığı üçüncü kişilere bildirmekte ve bu üçüncü kişiler nezdinde de gerekli işlemlerin yapılmasını talep etmektedir.</w:t>
      </w:r>
    </w:p>
    <w:p w14:paraId="017B314A" w14:textId="77777777" w:rsidR="00D51D97" w:rsidRDefault="00D51D97" w:rsidP="00D51D97">
      <w:pPr>
        <w:jc w:val="both"/>
        <w:rPr>
          <w:rFonts w:ascii="Cambria" w:hAnsi="Cambria"/>
        </w:rPr>
      </w:pPr>
      <w:r w:rsidRPr="00D51D97">
        <w:rPr>
          <w:rFonts w:ascii="Cambria" w:hAnsi="Cambria"/>
        </w:rPr>
        <w:t xml:space="preserve">(iii) tamamının ortadan kalkmamış olduğunun tespit edilmesi halinde, bu talep Şirket tarafından </w:t>
      </w:r>
      <w:proofErr w:type="spellStart"/>
      <w:r w:rsidRPr="00D51D97">
        <w:rPr>
          <w:rFonts w:ascii="Cambria" w:hAnsi="Cambria"/>
        </w:rPr>
        <w:t>KVKK’nın</w:t>
      </w:r>
      <w:proofErr w:type="spellEnd"/>
      <w:r w:rsidRPr="00D51D97">
        <w:rPr>
          <w:rFonts w:ascii="Cambria" w:hAnsi="Cambria"/>
        </w:rPr>
        <w:t xml:space="preserve"> 13. maddesinin üçüncü fıkrası uyarınca en geç otuz gün içinde ilgili kişiye gerekçesi açıklanmak kaydıyla reddedilebilmektedir.</w:t>
      </w:r>
    </w:p>
    <w:p w14:paraId="379334B5" w14:textId="77777777" w:rsidR="001772AF" w:rsidRDefault="001772AF" w:rsidP="00D51D97">
      <w:pPr>
        <w:jc w:val="both"/>
        <w:rPr>
          <w:rFonts w:ascii="Cambria" w:hAnsi="Cambria"/>
        </w:rPr>
      </w:pPr>
    </w:p>
    <w:p w14:paraId="037FE2EE" w14:textId="77777777" w:rsidR="001772AF" w:rsidRDefault="001772AF" w:rsidP="00D51D97">
      <w:pPr>
        <w:jc w:val="both"/>
        <w:rPr>
          <w:rFonts w:ascii="Cambria" w:hAnsi="Cambria"/>
        </w:rPr>
      </w:pPr>
    </w:p>
    <w:p w14:paraId="6FF2CDF2" w14:textId="77777777" w:rsidR="001772AF" w:rsidRPr="00D51D97" w:rsidRDefault="001772AF" w:rsidP="00D51D97">
      <w:pPr>
        <w:jc w:val="both"/>
        <w:rPr>
          <w:rFonts w:ascii="Cambria" w:hAnsi="Cambria"/>
        </w:rPr>
      </w:pPr>
    </w:p>
    <w:p w14:paraId="239473D9" w14:textId="1D08CF5E" w:rsidR="00D51D97" w:rsidRPr="001125CC" w:rsidRDefault="00D51D97" w:rsidP="00D51D97">
      <w:pPr>
        <w:pStyle w:val="ListeParagraf"/>
        <w:numPr>
          <w:ilvl w:val="0"/>
          <w:numId w:val="1"/>
        </w:numPr>
        <w:jc w:val="both"/>
        <w:rPr>
          <w:rFonts w:ascii="Cambria" w:hAnsi="Cambria"/>
          <w:b/>
          <w:bCs/>
        </w:rPr>
      </w:pPr>
      <w:r w:rsidRPr="001125CC">
        <w:rPr>
          <w:rFonts w:ascii="Cambria" w:hAnsi="Cambria"/>
          <w:b/>
          <w:bCs/>
        </w:rPr>
        <w:lastRenderedPageBreak/>
        <w:t>Kişisel Verilerin Güvenli Bir şekilde Saklanması ile Hukuka Aykırı olarak İşlenmesi ve Erişilmesinin Önlenmesi için Alınmış Teknik ve İdari Tedbirler</w:t>
      </w:r>
    </w:p>
    <w:p w14:paraId="2E16D968" w14:textId="4A9C0DD8" w:rsidR="00D51D97" w:rsidRDefault="001772AF" w:rsidP="001772AF">
      <w:pPr>
        <w:jc w:val="both"/>
        <w:rPr>
          <w:rFonts w:ascii="Cambria" w:hAnsi="Cambria"/>
        </w:rPr>
      </w:pPr>
      <w:r w:rsidRPr="001772AF">
        <w:rPr>
          <w:rFonts w:ascii="Cambria" w:hAnsi="Cambria"/>
          <w:b/>
          <w:bCs/>
        </w:rPr>
        <w:t>6.1</w:t>
      </w:r>
      <w:r>
        <w:rPr>
          <w:rFonts w:ascii="Cambria" w:hAnsi="Cambria"/>
        </w:rPr>
        <w:t xml:space="preserve"> </w:t>
      </w:r>
      <w:r w:rsidR="00D51D97">
        <w:rPr>
          <w:rFonts w:ascii="Cambria" w:hAnsi="Cambria"/>
        </w:rPr>
        <w:t xml:space="preserve">Şirket, kişisel verilerin hukuka uygun işlenmesi ve güvenliğinin sağlanması amacıyla her türlü teknik ve idari tedbiri almakta; bu tedbirlere uyulması amacıyla şirket personeline eğitimler vermekte ve periyodik aralıklara denetimler yapmaktadır. </w:t>
      </w:r>
    </w:p>
    <w:p w14:paraId="6D77044D" w14:textId="0A1540D2" w:rsidR="00D51D97" w:rsidRPr="00D51D97" w:rsidRDefault="001772AF" w:rsidP="001772AF">
      <w:pPr>
        <w:jc w:val="both"/>
        <w:rPr>
          <w:rFonts w:ascii="Cambria" w:hAnsi="Cambria"/>
        </w:rPr>
      </w:pPr>
      <w:r w:rsidRPr="001772AF">
        <w:rPr>
          <w:rFonts w:ascii="Cambria" w:hAnsi="Cambria"/>
          <w:b/>
          <w:bCs/>
        </w:rPr>
        <w:t>6.2</w:t>
      </w:r>
      <w:r>
        <w:rPr>
          <w:rFonts w:ascii="Cambria" w:hAnsi="Cambria"/>
        </w:rPr>
        <w:t xml:space="preserve"> </w:t>
      </w:r>
      <w:r w:rsidR="00D51D97" w:rsidRPr="00D51D97">
        <w:rPr>
          <w:rFonts w:ascii="Cambria" w:hAnsi="Cambria"/>
        </w:rPr>
        <w:t xml:space="preserve">Şirket, bünyesinde yer alan her bir birimin gerçekleştirdiği kişisel veri işleme süreçlerini ve aşamalarını analiz etmekte, gözden geçirmekte ve ilgili süreçlerde hukuka uygunluğun temini için gerekli aksiyonları almaktadır. </w:t>
      </w:r>
    </w:p>
    <w:p w14:paraId="09ECF88F" w14:textId="76D1476C" w:rsidR="00D51D97" w:rsidRDefault="001772AF" w:rsidP="001772AF">
      <w:pPr>
        <w:jc w:val="both"/>
        <w:rPr>
          <w:rFonts w:ascii="Cambria" w:hAnsi="Cambria"/>
        </w:rPr>
      </w:pPr>
      <w:r w:rsidRPr="001772AF">
        <w:rPr>
          <w:rFonts w:ascii="Cambria" w:hAnsi="Cambria"/>
          <w:b/>
          <w:bCs/>
        </w:rPr>
        <w:t>6.3</w:t>
      </w:r>
      <w:r>
        <w:rPr>
          <w:rFonts w:ascii="Cambria" w:hAnsi="Cambria"/>
        </w:rPr>
        <w:t xml:space="preserve"> </w:t>
      </w:r>
      <w:r w:rsidR="00D51D97" w:rsidRPr="00D51D97">
        <w:rPr>
          <w:rFonts w:ascii="Cambria" w:hAnsi="Cambria"/>
        </w:rPr>
        <w:t xml:space="preserve">Şirket’in söz konusu analiz ve çalışmalar ışığında almış olduğu idari ve teknik tedbirler; Kişisel Verilerin Korunması ve İşlenmesi Politikası, Özel Nitelikli Kişisel Verilerin Korunması ve İşlenmesi Politikası, Acil Durum Yönergesi, Kişisel Verileri Koruma Komisyonu’nun Görev ve Yetkilerine İlişkin Yönerge ve Başvurularda İzlenecek Yöntem </w:t>
      </w:r>
      <w:proofErr w:type="spellStart"/>
      <w:r w:rsidR="00D51D97" w:rsidRPr="00D51D97">
        <w:rPr>
          <w:rFonts w:ascii="Cambria" w:hAnsi="Cambria"/>
        </w:rPr>
        <w:t>Yönergesi’nde</w:t>
      </w:r>
      <w:proofErr w:type="spellEnd"/>
      <w:r w:rsidR="00D51D97" w:rsidRPr="00D51D97">
        <w:rPr>
          <w:rFonts w:ascii="Cambria" w:hAnsi="Cambria"/>
        </w:rPr>
        <w:t xml:space="preserve"> de ayrıntılarıyla düzenlenmiştir. </w:t>
      </w:r>
    </w:p>
    <w:p w14:paraId="4A70B5E4" w14:textId="59ACD593" w:rsidR="00D51D97" w:rsidRPr="001125CC" w:rsidRDefault="00D51D97" w:rsidP="00D51D97">
      <w:pPr>
        <w:pStyle w:val="ListeParagraf"/>
        <w:numPr>
          <w:ilvl w:val="0"/>
          <w:numId w:val="1"/>
        </w:numPr>
        <w:jc w:val="both"/>
        <w:rPr>
          <w:rFonts w:ascii="Cambria" w:hAnsi="Cambria"/>
          <w:b/>
          <w:bCs/>
        </w:rPr>
      </w:pPr>
      <w:r w:rsidRPr="001125CC">
        <w:rPr>
          <w:rFonts w:ascii="Cambria" w:hAnsi="Cambria"/>
          <w:b/>
          <w:bCs/>
        </w:rPr>
        <w:t>Kişisel Verilerin Hukuka Uygun Olarak İmha Edilmesi İçin Alınmış Teknik ve İdari Tedbi</w:t>
      </w:r>
      <w:r w:rsidR="001125CC" w:rsidRPr="001125CC">
        <w:rPr>
          <w:rFonts w:ascii="Cambria" w:hAnsi="Cambria"/>
          <w:b/>
          <w:bCs/>
        </w:rPr>
        <w:t>rl</w:t>
      </w:r>
      <w:r w:rsidRPr="001125CC">
        <w:rPr>
          <w:rFonts w:ascii="Cambria" w:hAnsi="Cambria"/>
          <w:b/>
          <w:bCs/>
        </w:rPr>
        <w:t>er</w:t>
      </w:r>
    </w:p>
    <w:p w14:paraId="7301FF15" w14:textId="3D2CEE11" w:rsidR="00D51D97" w:rsidRPr="00D51D97" w:rsidRDefault="001772AF" w:rsidP="001772AF">
      <w:pPr>
        <w:jc w:val="both"/>
        <w:rPr>
          <w:rFonts w:ascii="Cambria" w:hAnsi="Cambria"/>
        </w:rPr>
      </w:pPr>
      <w:r w:rsidRPr="001772AF">
        <w:rPr>
          <w:rFonts w:ascii="Cambria" w:hAnsi="Cambria"/>
          <w:b/>
          <w:bCs/>
        </w:rPr>
        <w:t>7.1</w:t>
      </w:r>
      <w:r>
        <w:rPr>
          <w:rFonts w:ascii="Cambria" w:hAnsi="Cambria"/>
        </w:rPr>
        <w:t xml:space="preserve"> </w:t>
      </w:r>
      <w:r w:rsidR="00D51D97">
        <w:rPr>
          <w:rFonts w:ascii="Cambria" w:hAnsi="Cambria"/>
        </w:rPr>
        <w:t xml:space="preserve">Şirket, </w:t>
      </w:r>
      <w:r w:rsidR="00D51D97" w:rsidRPr="00D51D97">
        <w:rPr>
          <w:rFonts w:ascii="Cambria" w:hAnsi="Cambria"/>
        </w:rPr>
        <w:t>kişisel verilerin hukuka uygun olarak silinmesi, yok edilmesi veya anonim hale getirilmesi için gerekli her türlü teknik ve idari tedbiri almakta olup, sahip olduğu teknolojik imkânlar ve uygulama maliyetleri göz önünde bulundurularak, her bir seferinde aşağıdaki maddede sayılanlar arasından en uygun yöntemleri kullanmaktadır.</w:t>
      </w:r>
    </w:p>
    <w:p w14:paraId="2EA3AD1C" w14:textId="03DEC1A3" w:rsidR="00D51D97" w:rsidRPr="00D51D97" w:rsidRDefault="001772AF" w:rsidP="001772AF">
      <w:pPr>
        <w:jc w:val="both"/>
        <w:rPr>
          <w:rFonts w:ascii="Cambria" w:hAnsi="Cambria"/>
        </w:rPr>
      </w:pPr>
      <w:r w:rsidRPr="001772AF">
        <w:rPr>
          <w:rFonts w:ascii="Cambria" w:hAnsi="Cambria"/>
          <w:b/>
          <w:bCs/>
        </w:rPr>
        <w:t>7.2</w:t>
      </w:r>
      <w:r>
        <w:rPr>
          <w:rFonts w:ascii="Cambria" w:hAnsi="Cambria"/>
        </w:rPr>
        <w:t xml:space="preserve"> </w:t>
      </w:r>
      <w:r w:rsidR="00D51D97" w:rsidRPr="00D51D97">
        <w:rPr>
          <w:rFonts w:ascii="Cambria" w:hAnsi="Cambria"/>
        </w:rPr>
        <w:t>Kişisel verilerin imhası ile ilgili olarak yapılan bütün işlemler kayıt altına alınmakta ve söz konusu kayıtlar, diğer hukuki yükümlülükler hariç olmak üzere en az üç yıl süreyle saklanmaktadır.</w:t>
      </w:r>
    </w:p>
    <w:p w14:paraId="5834D4FA" w14:textId="7FDE4F8E" w:rsidR="00D51D97" w:rsidRDefault="001772AF" w:rsidP="001772AF">
      <w:pPr>
        <w:jc w:val="both"/>
        <w:rPr>
          <w:rFonts w:ascii="Cambria" w:hAnsi="Cambria"/>
        </w:rPr>
      </w:pPr>
      <w:r w:rsidRPr="001772AF">
        <w:rPr>
          <w:rFonts w:ascii="Cambria" w:hAnsi="Cambria"/>
          <w:b/>
          <w:bCs/>
        </w:rPr>
        <w:t>7.3</w:t>
      </w:r>
      <w:r>
        <w:rPr>
          <w:rFonts w:ascii="Cambria" w:hAnsi="Cambria"/>
        </w:rPr>
        <w:t xml:space="preserve"> </w:t>
      </w:r>
      <w:r w:rsidR="00D51D97" w:rsidRPr="00D51D97">
        <w:rPr>
          <w:rFonts w:ascii="Cambria" w:hAnsi="Cambria"/>
        </w:rPr>
        <w:t xml:space="preserve">İmha süreçleri, Şirket bünyesinde kişisel veri işleme süreçlerinin hukuka uygunluğunu sağlamak üzere oluşturulan Kişisel Verileri Koruma Komisyonu tarafından denetlenmektedir. </w:t>
      </w:r>
    </w:p>
    <w:p w14:paraId="16E2CA17" w14:textId="77BADB0C" w:rsidR="00D51D97" w:rsidRPr="001125CC" w:rsidRDefault="00D51D97" w:rsidP="00D51D97">
      <w:pPr>
        <w:pStyle w:val="ListeParagraf"/>
        <w:numPr>
          <w:ilvl w:val="0"/>
          <w:numId w:val="1"/>
        </w:numPr>
        <w:jc w:val="both"/>
        <w:rPr>
          <w:rFonts w:ascii="Cambria" w:hAnsi="Cambria"/>
          <w:b/>
          <w:bCs/>
        </w:rPr>
      </w:pPr>
      <w:r w:rsidRPr="001125CC">
        <w:rPr>
          <w:rFonts w:ascii="Cambria" w:hAnsi="Cambria"/>
          <w:b/>
          <w:bCs/>
        </w:rPr>
        <w:t>Kişisel Verilerin İmha Edilme Yöntemleri</w:t>
      </w:r>
    </w:p>
    <w:p w14:paraId="62E43122" w14:textId="0EC5DA15" w:rsidR="00D51D97" w:rsidRPr="00D51D97" w:rsidRDefault="001772AF" w:rsidP="001772AF">
      <w:pPr>
        <w:jc w:val="both"/>
        <w:rPr>
          <w:rFonts w:ascii="Cambria" w:hAnsi="Cambria"/>
        </w:rPr>
      </w:pPr>
      <w:r w:rsidRPr="001772AF">
        <w:rPr>
          <w:rFonts w:ascii="Cambria" w:hAnsi="Cambria"/>
          <w:b/>
          <w:bCs/>
        </w:rPr>
        <w:t>8.1</w:t>
      </w:r>
      <w:r>
        <w:rPr>
          <w:rFonts w:ascii="Cambria" w:hAnsi="Cambria"/>
        </w:rPr>
        <w:t xml:space="preserve"> </w:t>
      </w:r>
      <w:r w:rsidR="00D51D97" w:rsidRPr="00D51D97">
        <w:rPr>
          <w:rFonts w:ascii="Cambria" w:hAnsi="Cambria"/>
        </w:rPr>
        <w:t xml:space="preserve">Şirket bünyesinde fiziksel ortamda muhafaza edilen kişisel veriler, periyodik imha süreçlerinde kâğıt doğrayıcı/kâğıt kıyma makinesi ile veya çok sayıda belgenin imha edilmesi halinde, tüm güvenlik önlemleri alınmak suretiyle yakılarak imha edilecektir. </w:t>
      </w:r>
    </w:p>
    <w:p w14:paraId="673DCED9" w14:textId="55C7D1AC" w:rsidR="00D51D97" w:rsidRPr="00D51D97" w:rsidRDefault="001772AF" w:rsidP="001772AF">
      <w:pPr>
        <w:jc w:val="both"/>
        <w:rPr>
          <w:rFonts w:ascii="Cambria" w:hAnsi="Cambria"/>
        </w:rPr>
      </w:pPr>
      <w:r w:rsidRPr="001772AF">
        <w:rPr>
          <w:rFonts w:ascii="Cambria" w:hAnsi="Cambria"/>
          <w:b/>
          <w:bCs/>
        </w:rPr>
        <w:t>8.2</w:t>
      </w:r>
      <w:r>
        <w:rPr>
          <w:rFonts w:ascii="Cambria" w:hAnsi="Cambria"/>
        </w:rPr>
        <w:t xml:space="preserve"> </w:t>
      </w:r>
      <w:r w:rsidR="00D51D97" w:rsidRPr="00D51D97">
        <w:rPr>
          <w:rFonts w:ascii="Cambria" w:hAnsi="Cambria"/>
        </w:rPr>
        <w:t xml:space="preserve">Şirket bünyesinde dijital ortamda muhafaza edilen kişisel veriler; ilgili çalışanlar tarafından dijital ortamdan kanuni sürelere uygun olarak silinerek imha edilmektedir. </w:t>
      </w:r>
    </w:p>
    <w:p w14:paraId="49355171" w14:textId="3A95FFCF" w:rsidR="00D51D97" w:rsidRDefault="001772AF" w:rsidP="001772AF">
      <w:pPr>
        <w:jc w:val="both"/>
        <w:rPr>
          <w:rFonts w:ascii="Cambria" w:hAnsi="Cambria"/>
        </w:rPr>
      </w:pPr>
      <w:r w:rsidRPr="001772AF">
        <w:rPr>
          <w:rFonts w:ascii="Cambria" w:hAnsi="Cambria"/>
          <w:b/>
          <w:bCs/>
        </w:rPr>
        <w:t>8.3</w:t>
      </w:r>
      <w:r>
        <w:rPr>
          <w:rFonts w:ascii="Cambria" w:hAnsi="Cambria"/>
        </w:rPr>
        <w:t xml:space="preserve"> </w:t>
      </w:r>
      <w:r w:rsidR="00D51D97" w:rsidRPr="00D51D97">
        <w:rPr>
          <w:rFonts w:ascii="Cambria" w:hAnsi="Cambria"/>
        </w:rPr>
        <w:t xml:space="preserve">Şirket, Kişisel Verileri Koruma Kurulu tarafından aksine bir karar alınmadıkça, Yönetmelik gereği kişisel verileri </w:t>
      </w:r>
      <w:proofErr w:type="spellStart"/>
      <w:r w:rsidR="00D51D97" w:rsidRPr="00D51D97">
        <w:rPr>
          <w:rFonts w:ascii="Cambria" w:hAnsi="Cambria"/>
        </w:rPr>
        <w:t>re’sen</w:t>
      </w:r>
      <w:proofErr w:type="spellEnd"/>
      <w:r w:rsidR="00D51D97" w:rsidRPr="00D51D97">
        <w:rPr>
          <w:rFonts w:ascii="Cambria" w:hAnsi="Cambria"/>
        </w:rPr>
        <w:t xml:space="preserve"> silme, yok etme veya anonim hale getirme yöntemlerinden uygun olanını seçmeye yetkilidir. İlgili kişinin bu yönde belirli bir talebi olması halinde, </w:t>
      </w:r>
      <w:r w:rsidR="001125CC">
        <w:rPr>
          <w:rFonts w:ascii="Cambria" w:hAnsi="Cambria"/>
        </w:rPr>
        <w:t>ş</w:t>
      </w:r>
      <w:r w:rsidR="00D51D97" w:rsidRPr="00D51D97">
        <w:rPr>
          <w:rFonts w:ascii="Cambria" w:hAnsi="Cambria"/>
        </w:rPr>
        <w:t>irket uygun yöntemi talep sahibine gerekçesini açıklamak suretiyle seçer.</w:t>
      </w:r>
    </w:p>
    <w:p w14:paraId="7AF56D3E" w14:textId="77777777" w:rsidR="001772AF" w:rsidRDefault="001772AF" w:rsidP="001772AF">
      <w:pPr>
        <w:jc w:val="both"/>
        <w:rPr>
          <w:rFonts w:ascii="Cambria" w:hAnsi="Cambria"/>
        </w:rPr>
      </w:pPr>
    </w:p>
    <w:p w14:paraId="0CC2C0D8" w14:textId="5EB3C88B" w:rsidR="001125CC" w:rsidRPr="001125CC" w:rsidRDefault="001125CC" w:rsidP="001125CC">
      <w:pPr>
        <w:pStyle w:val="ListeParagraf"/>
        <w:numPr>
          <w:ilvl w:val="0"/>
          <w:numId w:val="1"/>
        </w:numPr>
        <w:jc w:val="both"/>
        <w:rPr>
          <w:rFonts w:ascii="Cambria" w:hAnsi="Cambria"/>
          <w:b/>
          <w:bCs/>
        </w:rPr>
      </w:pPr>
      <w:r w:rsidRPr="001125CC">
        <w:rPr>
          <w:rFonts w:ascii="Cambria" w:hAnsi="Cambria"/>
          <w:b/>
          <w:bCs/>
        </w:rPr>
        <w:lastRenderedPageBreak/>
        <w:t>Kişisel Verileri İmha Süreçlerin Yer Alanların Unvanları, Birimleri ve Göre Tanımları</w:t>
      </w:r>
    </w:p>
    <w:p w14:paraId="47E245E9" w14:textId="3468C4AB" w:rsidR="001125CC" w:rsidRDefault="001772AF" w:rsidP="001772AF">
      <w:pPr>
        <w:jc w:val="both"/>
        <w:rPr>
          <w:rFonts w:ascii="Cambria" w:hAnsi="Cambria"/>
        </w:rPr>
      </w:pPr>
      <w:r w:rsidRPr="001772AF">
        <w:rPr>
          <w:rFonts w:ascii="Cambria" w:hAnsi="Cambria"/>
          <w:b/>
          <w:bCs/>
        </w:rPr>
        <w:t>9.1</w:t>
      </w:r>
      <w:r>
        <w:rPr>
          <w:rFonts w:ascii="Cambria" w:hAnsi="Cambria"/>
        </w:rPr>
        <w:t xml:space="preserve"> </w:t>
      </w:r>
      <w:r w:rsidR="001125CC">
        <w:rPr>
          <w:rFonts w:ascii="Cambria" w:hAnsi="Cambria"/>
        </w:rPr>
        <w:t xml:space="preserve">Kişisel verilerin imha edilmesine ilişkin süreçler, şirket bünyesinde kurulan ve kişisel verilerin hukuka uygun olarak işlenmesini temin etmekte görevli olan Kişisel Verileri Koruma Komisyonu tarafından gerçekleştirilir. </w:t>
      </w:r>
    </w:p>
    <w:p w14:paraId="5A8B50C2" w14:textId="4C97C86D" w:rsidR="001125CC" w:rsidRDefault="001772AF" w:rsidP="001772AF">
      <w:pPr>
        <w:jc w:val="both"/>
        <w:rPr>
          <w:rFonts w:ascii="Cambria" w:hAnsi="Cambria"/>
        </w:rPr>
      </w:pPr>
      <w:r w:rsidRPr="001772AF">
        <w:rPr>
          <w:rFonts w:ascii="Cambria" w:hAnsi="Cambria"/>
          <w:b/>
          <w:bCs/>
        </w:rPr>
        <w:t>9.2</w:t>
      </w:r>
      <w:r>
        <w:rPr>
          <w:rFonts w:ascii="Cambria" w:hAnsi="Cambria"/>
        </w:rPr>
        <w:t xml:space="preserve"> </w:t>
      </w:r>
      <w:r w:rsidR="001125CC">
        <w:rPr>
          <w:rFonts w:ascii="Cambria" w:hAnsi="Cambria"/>
        </w:rPr>
        <w:t xml:space="preserve">Kişisel Verileri Koruma sorumlusu, işbu </w:t>
      </w:r>
      <w:proofErr w:type="spellStart"/>
      <w:r w:rsidR="001125CC">
        <w:rPr>
          <w:rFonts w:ascii="Cambria" w:hAnsi="Cambria"/>
        </w:rPr>
        <w:t>Politika’da</w:t>
      </w:r>
      <w:proofErr w:type="spellEnd"/>
      <w:r w:rsidR="001125CC">
        <w:rPr>
          <w:rFonts w:ascii="Cambria" w:hAnsi="Cambria"/>
        </w:rPr>
        <w:t xml:space="preserve"> belirtilen belgelerin belirlenen sürelerde imha edilmesi işini, üçüncü kişilere devredebilecektir. Bununla birlikte devri halinde de Kişisel Verileri Koruma Komisyonu’nun denetim yükümlülüğü devam edecektir. Böyle bir durumda, imha etme görev ve yetkisinin devredildiği kişi ve/veya kişilerin adı soyadı, unvan, birim ve görev tanımları gibi bilgileri her bir imha sürecinde yazılı olarak kayıt altına alınacak olup bu kayıtlar, şirket müdürüne bildirilecektir. </w:t>
      </w:r>
    </w:p>
    <w:p w14:paraId="0E8B52BB" w14:textId="1080E8D7" w:rsidR="001125CC" w:rsidRDefault="001772AF" w:rsidP="001125CC">
      <w:pPr>
        <w:jc w:val="both"/>
        <w:rPr>
          <w:rFonts w:ascii="Cambria" w:hAnsi="Cambria"/>
        </w:rPr>
      </w:pPr>
      <w:r w:rsidRPr="001772AF">
        <w:rPr>
          <w:rFonts w:ascii="Cambria" w:hAnsi="Cambria"/>
          <w:b/>
          <w:bCs/>
        </w:rPr>
        <w:t>9.3</w:t>
      </w:r>
      <w:r>
        <w:rPr>
          <w:rFonts w:ascii="Cambria" w:hAnsi="Cambria"/>
        </w:rPr>
        <w:t xml:space="preserve"> </w:t>
      </w:r>
      <w:r w:rsidR="001125CC">
        <w:rPr>
          <w:rFonts w:ascii="Cambria" w:hAnsi="Cambria"/>
        </w:rPr>
        <w:t xml:space="preserve">Periyodik imha süreçleri, Kişisel Verilerin Korunması Komisyonu veya onun tarafından belirlenen görevlilerden en az iki kişi tarafından müştereken gerçekleştirilmekte ve imha edilen kişisel verilerin herhangi bir kopyasının alınmadığı hususunda bu kişilerden yazılı taahhüt alınmaktadır. </w:t>
      </w:r>
    </w:p>
    <w:p w14:paraId="04B1E8B5" w14:textId="5DC2C4F9" w:rsidR="001125CC" w:rsidRPr="001125CC" w:rsidRDefault="001125CC" w:rsidP="001125CC">
      <w:pPr>
        <w:pStyle w:val="ListeParagraf"/>
        <w:numPr>
          <w:ilvl w:val="0"/>
          <w:numId w:val="1"/>
        </w:numPr>
        <w:jc w:val="both"/>
        <w:rPr>
          <w:rFonts w:ascii="Cambria" w:hAnsi="Cambria"/>
          <w:b/>
          <w:bCs/>
        </w:rPr>
      </w:pPr>
      <w:r w:rsidRPr="001125CC">
        <w:rPr>
          <w:rFonts w:ascii="Cambria" w:hAnsi="Cambria"/>
          <w:b/>
          <w:bCs/>
        </w:rPr>
        <w:t>Periyodik İmha Süreleri</w:t>
      </w:r>
    </w:p>
    <w:p w14:paraId="4C3CB895" w14:textId="756BE5AE" w:rsidR="001125CC" w:rsidRPr="001125CC" w:rsidRDefault="001772AF" w:rsidP="001772AF">
      <w:pPr>
        <w:jc w:val="both"/>
        <w:rPr>
          <w:rFonts w:ascii="Cambria" w:hAnsi="Cambria"/>
        </w:rPr>
      </w:pPr>
      <w:r w:rsidRPr="001772AF">
        <w:rPr>
          <w:rFonts w:ascii="Cambria" w:hAnsi="Cambria"/>
          <w:b/>
          <w:bCs/>
        </w:rPr>
        <w:t>10.1</w:t>
      </w:r>
      <w:r>
        <w:rPr>
          <w:rFonts w:ascii="Cambria" w:hAnsi="Cambria"/>
        </w:rPr>
        <w:t xml:space="preserve"> </w:t>
      </w:r>
      <w:r w:rsidR="001125CC" w:rsidRPr="001125CC">
        <w:rPr>
          <w:rFonts w:ascii="Cambria" w:hAnsi="Cambria"/>
        </w:rPr>
        <w:t>Şirket, işlemiş olduğu kişisel verileri silme, yok etme veya anonim hale getirme yükümlülüğünün ortaya çıktığı tarihi takip eden ilk periyodik imha işleminde, kişisel verileri siler, yok eder veya anonim hale getirir.</w:t>
      </w:r>
    </w:p>
    <w:p w14:paraId="046B9A5D" w14:textId="24A91CCE" w:rsidR="001125CC" w:rsidRPr="001125CC" w:rsidRDefault="001772AF" w:rsidP="001772AF">
      <w:pPr>
        <w:jc w:val="both"/>
        <w:rPr>
          <w:rFonts w:ascii="Cambria" w:hAnsi="Cambria"/>
        </w:rPr>
      </w:pPr>
      <w:r w:rsidRPr="001772AF">
        <w:rPr>
          <w:rFonts w:ascii="Cambria" w:hAnsi="Cambria"/>
          <w:b/>
          <w:bCs/>
        </w:rPr>
        <w:t>10.2</w:t>
      </w:r>
      <w:r>
        <w:rPr>
          <w:rFonts w:ascii="Cambria" w:hAnsi="Cambria"/>
        </w:rPr>
        <w:t xml:space="preserve"> </w:t>
      </w:r>
      <w:r w:rsidR="001125CC" w:rsidRPr="001125CC">
        <w:rPr>
          <w:rFonts w:ascii="Cambria" w:hAnsi="Cambria"/>
        </w:rPr>
        <w:t>Periyodik imhanın gerçekleştirileceği zaman aralığı 6 (altı) ay olup, Şirket’in işlemekte olduğu kişisel veriler bakımından, verilerin saklanma ve imha süreleri ile saklama sürelerinin hukuki dayanaklarına ilişkin mevzuat hükümleri aşağıdaki tabloda gösterilmiştir.</w:t>
      </w:r>
    </w:p>
    <w:tbl>
      <w:tblPr>
        <w:tblStyle w:val="GridTable5Dark-Accent51"/>
        <w:tblpPr w:leftFromText="141" w:rightFromText="141" w:vertAnchor="text" w:horzAnchor="margin" w:tblpY="-136"/>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870"/>
      </w:tblGrid>
      <w:tr w:rsidR="001125CC" w:rsidRPr="005521DB" w14:paraId="6F636EB7" w14:textId="77777777" w:rsidTr="00FF1C11">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right w:val="none" w:sz="0" w:space="0" w:color="auto"/>
            </w:tcBorders>
          </w:tcPr>
          <w:p w14:paraId="5C5F6C41" w14:textId="77777777" w:rsidR="001125CC" w:rsidRPr="005521DB" w:rsidRDefault="001125CC" w:rsidP="00FF1C11">
            <w:pPr>
              <w:spacing w:line="276" w:lineRule="auto"/>
              <w:jc w:val="center"/>
              <w:rPr>
                <w:rFonts w:ascii="Times New Roman" w:hAnsi="Times New Roman" w:cs="Times New Roman"/>
                <w:b w:val="0"/>
                <w:sz w:val="24"/>
                <w:szCs w:val="24"/>
              </w:rPr>
            </w:pPr>
            <w:r w:rsidRPr="005521DB">
              <w:rPr>
                <w:rFonts w:ascii="Times New Roman" w:hAnsi="Times New Roman" w:cs="Times New Roman"/>
                <w:b w:val="0"/>
                <w:sz w:val="24"/>
                <w:szCs w:val="24"/>
              </w:rPr>
              <w:lastRenderedPageBreak/>
              <w:t>VERİ KATEGORİSİ</w:t>
            </w:r>
          </w:p>
        </w:tc>
        <w:tc>
          <w:tcPr>
            <w:tcW w:w="2977" w:type="dxa"/>
            <w:tcBorders>
              <w:top w:val="none" w:sz="0" w:space="0" w:color="auto"/>
              <w:left w:val="none" w:sz="0" w:space="0" w:color="auto"/>
              <w:right w:val="none" w:sz="0" w:space="0" w:color="auto"/>
            </w:tcBorders>
          </w:tcPr>
          <w:p w14:paraId="53C8EF06" w14:textId="77777777" w:rsidR="001125CC" w:rsidRPr="005521DB" w:rsidRDefault="001125CC" w:rsidP="00FF1C1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521DB">
              <w:rPr>
                <w:rFonts w:ascii="Times New Roman" w:hAnsi="Times New Roman" w:cs="Times New Roman"/>
                <w:b w:val="0"/>
                <w:sz w:val="24"/>
                <w:szCs w:val="24"/>
              </w:rPr>
              <w:t>SAKLAMA VE İMHA SÜRESİ</w:t>
            </w:r>
          </w:p>
        </w:tc>
        <w:tc>
          <w:tcPr>
            <w:tcW w:w="3870" w:type="dxa"/>
            <w:tcBorders>
              <w:top w:val="none" w:sz="0" w:space="0" w:color="auto"/>
              <w:left w:val="none" w:sz="0" w:space="0" w:color="auto"/>
              <w:right w:val="none" w:sz="0" w:space="0" w:color="auto"/>
            </w:tcBorders>
          </w:tcPr>
          <w:p w14:paraId="5E86AB38" w14:textId="77777777" w:rsidR="001125CC" w:rsidRPr="005521DB" w:rsidRDefault="001125CC" w:rsidP="00FF1C1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521DB">
              <w:rPr>
                <w:rFonts w:ascii="Times New Roman" w:hAnsi="Times New Roman" w:cs="Times New Roman"/>
                <w:b w:val="0"/>
                <w:sz w:val="24"/>
                <w:szCs w:val="24"/>
              </w:rPr>
              <w:t>DAYANAK</w:t>
            </w:r>
          </w:p>
        </w:tc>
      </w:tr>
      <w:tr w:rsidR="001125CC" w:rsidRPr="005521DB" w14:paraId="269FF5FB" w14:textId="77777777" w:rsidTr="00FF1C11">
        <w:trPr>
          <w:cnfStyle w:val="000000100000" w:firstRow="0" w:lastRow="0" w:firstColumn="0" w:lastColumn="0" w:oddVBand="0" w:evenVBand="0" w:oddHBand="1"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549B477C" w14:textId="77777777" w:rsidR="001125CC" w:rsidRDefault="001125CC" w:rsidP="00FF1C11">
            <w:pPr>
              <w:spacing w:line="276" w:lineRule="auto"/>
              <w:jc w:val="center"/>
              <w:rPr>
                <w:rFonts w:ascii="Times New Roman" w:hAnsi="Times New Roman" w:cs="Times New Roman"/>
                <w:b w:val="0"/>
                <w:sz w:val="24"/>
                <w:szCs w:val="24"/>
              </w:rPr>
            </w:pPr>
            <w:r w:rsidRPr="005521DB">
              <w:rPr>
                <w:rFonts w:ascii="Times New Roman" w:hAnsi="Times New Roman" w:cs="Times New Roman"/>
                <w:b w:val="0"/>
                <w:sz w:val="24"/>
                <w:szCs w:val="24"/>
              </w:rPr>
              <w:t>Şirket çalışanlarına ilişkin kişisel veriler</w:t>
            </w:r>
          </w:p>
          <w:p w14:paraId="64123431" w14:textId="77777777" w:rsidR="001125CC" w:rsidRDefault="001125CC" w:rsidP="00FF1C11">
            <w:pPr>
              <w:spacing w:line="276" w:lineRule="auto"/>
              <w:jc w:val="center"/>
              <w:rPr>
                <w:rFonts w:ascii="Times New Roman" w:hAnsi="Times New Roman" w:cs="Times New Roman"/>
                <w:b w:val="0"/>
                <w:sz w:val="24"/>
                <w:szCs w:val="24"/>
              </w:rPr>
            </w:pPr>
            <w:r>
              <w:rPr>
                <w:rFonts w:ascii="Times New Roman" w:hAnsi="Times New Roman" w:cs="Times New Roman"/>
                <w:b w:val="0"/>
                <w:sz w:val="24"/>
                <w:szCs w:val="24"/>
              </w:rPr>
              <w:t>(Özlük dosyaları)</w:t>
            </w:r>
          </w:p>
          <w:p w14:paraId="296914F8" w14:textId="77777777" w:rsidR="001125CC" w:rsidRPr="005521DB" w:rsidRDefault="001125CC" w:rsidP="00FF1C11">
            <w:pPr>
              <w:spacing w:line="276" w:lineRule="auto"/>
              <w:jc w:val="center"/>
              <w:rPr>
                <w:rFonts w:ascii="Times New Roman" w:hAnsi="Times New Roman" w:cs="Times New Roman"/>
                <w:b w:val="0"/>
                <w:sz w:val="24"/>
                <w:szCs w:val="24"/>
              </w:rPr>
            </w:pPr>
          </w:p>
        </w:tc>
        <w:tc>
          <w:tcPr>
            <w:tcW w:w="2977" w:type="dxa"/>
          </w:tcPr>
          <w:p w14:paraId="3F56276A"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İş ilişkisi devam ettiği süre</w:t>
            </w:r>
            <w:r w:rsidRPr="00994248">
              <w:rPr>
                <w:rFonts w:ascii="Times New Roman" w:hAnsi="Times New Roman" w:cs="Times New Roman"/>
                <w:sz w:val="24"/>
                <w:szCs w:val="24"/>
              </w:rPr>
              <w:t xml:space="preserve"> boyunca ve işten çıkış tarihini takiben 10 yıl </w:t>
            </w:r>
            <w:r>
              <w:rPr>
                <w:rFonts w:ascii="Times New Roman" w:hAnsi="Times New Roman" w:cs="Times New Roman"/>
                <w:sz w:val="24"/>
                <w:szCs w:val="24"/>
              </w:rPr>
              <w:t>boyunca saklanır ve bu süre sonunda imha edilir.</w:t>
            </w:r>
          </w:p>
        </w:tc>
        <w:tc>
          <w:tcPr>
            <w:tcW w:w="3870" w:type="dxa"/>
          </w:tcPr>
          <w:p w14:paraId="6732E59F"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21DB">
              <w:rPr>
                <w:rFonts w:ascii="Times New Roman" w:hAnsi="Times New Roman" w:cs="Times New Roman"/>
                <w:sz w:val="24"/>
                <w:szCs w:val="24"/>
              </w:rPr>
              <w:t>6098 sayılı Türk Borçlar Kanunu, 4857 sayılı İş Kanunu</w:t>
            </w:r>
            <w:r>
              <w:rPr>
                <w:rFonts w:ascii="Times New Roman" w:hAnsi="Times New Roman" w:cs="Times New Roman"/>
                <w:sz w:val="24"/>
                <w:szCs w:val="24"/>
              </w:rPr>
              <w:t>, İş Sağlığı ve Güvenliği Hizmetleri Yönetmeliği</w:t>
            </w:r>
            <w:r w:rsidRPr="005521DB">
              <w:rPr>
                <w:rFonts w:ascii="Times New Roman" w:hAnsi="Times New Roman" w:cs="Times New Roman"/>
                <w:sz w:val="24"/>
                <w:szCs w:val="24"/>
              </w:rPr>
              <w:t xml:space="preserve"> ve zamanaşımı sürelerinin düzenlendiği ilgili diğer mevzuat.</w:t>
            </w:r>
          </w:p>
        </w:tc>
      </w:tr>
      <w:tr w:rsidR="001125CC" w:rsidRPr="005521DB" w14:paraId="1FAF7B8E" w14:textId="77777777" w:rsidTr="00FF1C11">
        <w:trPr>
          <w:trHeight w:val="1374"/>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61AC6344" w14:textId="77777777" w:rsidR="001125CC" w:rsidRPr="000B2D2C" w:rsidRDefault="001125CC" w:rsidP="00FF1C11">
            <w:pPr>
              <w:spacing w:line="276" w:lineRule="auto"/>
              <w:jc w:val="center"/>
              <w:rPr>
                <w:rFonts w:ascii="Times New Roman" w:hAnsi="Times New Roman" w:cs="Times New Roman"/>
                <w:b w:val="0"/>
                <w:sz w:val="24"/>
                <w:szCs w:val="24"/>
              </w:rPr>
            </w:pPr>
            <w:r w:rsidRPr="000B2D2C">
              <w:rPr>
                <w:rFonts w:ascii="Times New Roman" w:hAnsi="Times New Roman" w:cs="Times New Roman"/>
                <w:b w:val="0"/>
                <w:sz w:val="24"/>
                <w:szCs w:val="24"/>
              </w:rPr>
              <w:t>Şirket çalışanlarının sağlık bilgileri</w:t>
            </w:r>
          </w:p>
        </w:tc>
        <w:tc>
          <w:tcPr>
            <w:tcW w:w="2977" w:type="dxa"/>
          </w:tcPr>
          <w:p w14:paraId="2D6913AD" w14:textId="77777777" w:rsidR="001125CC"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Çalışanın açık rızası ile sisteme işlenir, ç</w:t>
            </w:r>
            <w:r w:rsidRPr="00994248">
              <w:rPr>
                <w:rFonts w:ascii="Times New Roman" w:hAnsi="Times New Roman" w:cs="Times New Roman"/>
                <w:sz w:val="24"/>
                <w:szCs w:val="24"/>
              </w:rPr>
              <w:t>alışanların işte</w:t>
            </w:r>
            <w:r>
              <w:rPr>
                <w:rFonts w:ascii="Times New Roman" w:hAnsi="Times New Roman" w:cs="Times New Roman"/>
                <w:sz w:val="24"/>
                <w:szCs w:val="24"/>
              </w:rPr>
              <w:t>n çıkış tarihini takiben 15 yıl boyunca saklanır ve bu süre sonunda imha edilir.</w:t>
            </w:r>
          </w:p>
        </w:tc>
        <w:tc>
          <w:tcPr>
            <w:tcW w:w="3870" w:type="dxa"/>
          </w:tcPr>
          <w:p w14:paraId="3324A3DF"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6331 sayılı İş Sağlığı ve Güvenliği Kanunu ve İş Sağlığı ve Güvenliği Hizmetleri Yönetmeliği.</w:t>
            </w:r>
          </w:p>
        </w:tc>
      </w:tr>
      <w:tr w:rsidR="001125CC" w:rsidRPr="005521DB" w14:paraId="5729C433" w14:textId="77777777" w:rsidTr="00FF1C11">
        <w:trPr>
          <w:cnfStyle w:val="000000100000" w:firstRow="0" w:lastRow="0" w:firstColumn="0" w:lastColumn="0" w:oddVBand="0" w:evenVBand="0" w:oddHBand="1"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2A23AC63" w14:textId="77777777" w:rsidR="001125CC" w:rsidRPr="005521DB" w:rsidRDefault="001125CC" w:rsidP="00FF1C11">
            <w:pPr>
              <w:spacing w:line="276" w:lineRule="auto"/>
              <w:jc w:val="center"/>
              <w:rPr>
                <w:rFonts w:ascii="Times New Roman" w:hAnsi="Times New Roman" w:cs="Times New Roman"/>
                <w:sz w:val="24"/>
                <w:szCs w:val="24"/>
              </w:rPr>
            </w:pPr>
            <w:r>
              <w:rPr>
                <w:rFonts w:ascii="Times New Roman" w:hAnsi="Times New Roman" w:cs="Times New Roman"/>
                <w:b w:val="0"/>
                <w:sz w:val="24"/>
                <w:szCs w:val="24"/>
              </w:rPr>
              <w:t>Çalışanların i</w:t>
            </w:r>
            <w:r w:rsidRPr="005C7A78">
              <w:rPr>
                <w:rFonts w:ascii="Times New Roman" w:hAnsi="Times New Roman" w:cs="Times New Roman"/>
                <w:b w:val="0"/>
                <w:sz w:val="24"/>
                <w:szCs w:val="24"/>
              </w:rPr>
              <w:t>şyerine giriş çıkış kayıtları</w:t>
            </w:r>
          </w:p>
        </w:tc>
        <w:tc>
          <w:tcPr>
            <w:tcW w:w="2977" w:type="dxa"/>
          </w:tcPr>
          <w:p w14:paraId="3599157A" w14:textId="77777777" w:rsidR="001125CC"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İşçi ile işveren </w:t>
            </w:r>
            <w:r w:rsidRPr="00DF3CBB">
              <w:rPr>
                <w:rFonts w:ascii="Times New Roman" w:hAnsi="Times New Roman" w:cs="Times New Roman"/>
                <w:sz w:val="24"/>
                <w:szCs w:val="24"/>
              </w:rPr>
              <w:t xml:space="preserve">ilişkisi süresince ve </w:t>
            </w:r>
            <w:r>
              <w:rPr>
                <w:rFonts w:ascii="Times New Roman" w:hAnsi="Times New Roman" w:cs="Times New Roman"/>
                <w:sz w:val="24"/>
                <w:szCs w:val="24"/>
              </w:rPr>
              <w:t>iş ilişkisinin bitimini takiben 5</w:t>
            </w:r>
            <w:r w:rsidRPr="00DF3CBB">
              <w:rPr>
                <w:rFonts w:ascii="Times New Roman" w:hAnsi="Times New Roman" w:cs="Times New Roman"/>
                <w:sz w:val="24"/>
                <w:szCs w:val="24"/>
              </w:rPr>
              <w:t xml:space="preserve"> yıl boyunca saklanır</w:t>
            </w:r>
            <w:r>
              <w:rPr>
                <w:rFonts w:ascii="Times New Roman" w:hAnsi="Times New Roman" w:cs="Times New Roman"/>
                <w:sz w:val="24"/>
                <w:szCs w:val="24"/>
              </w:rPr>
              <w:t xml:space="preserve"> ve bu süre sonunda imha edilir.</w:t>
            </w:r>
          </w:p>
        </w:tc>
        <w:tc>
          <w:tcPr>
            <w:tcW w:w="3870" w:type="dxa"/>
          </w:tcPr>
          <w:p w14:paraId="4CD9B60C"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21DB">
              <w:rPr>
                <w:rFonts w:ascii="Times New Roman" w:hAnsi="Times New Roman" w:cs="Times New Roman"/>
                <w:sz w:val="24"/>
                <w:szCs w:val="24"/>
              </w:rPr>
              <w:t>4857 sayılı İş Kanunu</w:t>
            </w:r>
            <w:r>
              <w:rPr>
                <w:rFonts w:ascii="Times New Roman" w:hAnsi="Times New Roman" w:cs="Times New Roman"/>
                <w:sz w:val="24"/>
                <w:szCs w:val="24"/>
              </w:rPr>
              <w:t>, İş Sağlığı ve Güvenliği Hizmetleri Yönetmeliği</w:t>
            </w:r>
            <w:r w:rsidRPr="005521DB">
              <w:rPr>
                <w:rFonts w:ascii="Times New Roman" w:hAnsi="Times New Roman" w:cs="Times New Roman"/>
                <w:sz w:val="24"/>
                <w:szCs w:val="24"/>
              </w:rPr>
              <w:t xml:space="preserve"> ve zamanaşımı sürelerinin düzenlendiği ilgili diğer mevzuat.</w:t>
            </w:r>
          </w:p>
        </w:tc>
      </w:tr>
      <w:tr w:rsidR="001125CC" w:rsidRPr="005521DB" w14:paraId="22625B52" w14:textId="77777777" w:rsidTr="00FF1C11">
        <w:trPr>
          <w:trHeight w:val="1374"/>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vAlign w:val="center"/>
          </w:tcPr>
          <w:p w14:paraId="7858AA32" w14:textId="77777777" w:rsidR="001125CC" w:rsidRDefault="001125CC" w:rsidP="00FF1C11">
            <w:pPr>
              <w:spacing w:line="276" w:lineRule="auto"/>
              <w:jc w:val="center"/>
              <w:rPr>
                <w:rFonts w:ascii="Times New Roman" w:hAnsi="Times New Roman" w:cs="Times New Roman"/>
                <w:b w:val="0"/>
                <w:sz w:val="24"/>
                <w:szCs w:val="24"/>
              </w:rPr>
            </w:pPr>
            <w:r>
              <w:rPr>
                <w:rFonts w:ascii="Times New Roman" w:hAnsi="Times New Roman" w:cs="Times New Roman"/>
                <w:b w:val="0"/>
                <w:sz w:val="24"/>
                <w:szCs w:val="24"/>
              </w:rPr>
              <w:t>Adli sicil kaydı bilgileri</w:t>
            </w:r>
          </w:p>
          <w:p w14:paraId="7C863FEA" w14:textId="77777777" w:rsidR="001125CC" w:rsidRPr="005521DB" w:rsidRDefault="001125CC" w:rsidP="00FF1C11">
            <w:pPr>
              <w:spacing w:line="276" w:lineRule="auto"/>
              <w:ind w:firstLine="0"/>
              <w:jc w:val="center"/>
              <w:rPr>
                <w:rFonts w:ascii="Times New Roman" w:hAnsi="Times New Roman" w:cs="Times New Roman"/>
                <w:sz w:val="24"/>
                <w:szCs w:val="24"/>
              </w:rPr>
            </w:pPr>
            <w:r>
              <w:rPr>
                <w:rFonts w:ascii="Times New Roman" w:hAnsi="Times New Roman" w:cs="Times New Roman"/>
                <w:b w:val="0"/>
                <w:sz w:val="24"/>
                <w:szCs w:val="24"/>
              </w:rPr>
              <w:t>(Ceza mahkumiyeti ve güvenlik tedbiri)</w:t>
            </w:r>
          </w:p>
        </w:tc>
        <w:tc>
          <w:tcPr>
            <w:tcW w:w="2977" w:type="dxa"/>
          </w:tcPr>
          <w:p w14:paraId="454EE8AC" w14:textId="77777777" w:rsidR="001125CC"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İlgili kişinin açık rızası ile sisteme işlenir ve</w:t>
            </w:r>
            <w:r w:rsidRPr="005521DB">
              <w:rPr>
                <w:rFonts w:ascii="Times New Roman" w:hAnsi="Times New Roman" w:cs="Times New Roman"/>
                <w:sz w:val="24"/>
                <w:szCs w:val="24"/>
              </w:rPr>
              <w:t xml:space="preserve"> </w:t>
            </w:r>
            <w:r>
              <w:rPr>
                <w:rFonts w:ascii="Times New Roman" w:hAnsi="Times New Roman" w:cs="Times New Roman"/>
                <w:sz w:val="24"/>
                <w:szCs w:val="24"/>
              </w:rPr>
              <w:t>iş ilişkisi sona erene kadar veya ilgili kişinin silme talebine kadar saklanır.</w:t>
            </w:r>
          </w:p>
        </w:tc>
        <w:tc>
          <w:tcPr>
            <w:tcW w:w="3870" w:type="dxa"/>
          </w:tcPr>
          <w:p w14:paraId="7F40E147" w14:textId="77777777" w:rsidR="001125CC"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0F55FA" w14:textId="77777777" w:rsidR="001125CC" w:rsidRPr="005521DB" w:rsidRDefault="001125CC" w:rsidP="00FF1C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KVKK uyarınca ilgili kişinin</w:t>
            </w:r>
            <w:r w:rsidRPr="005521DB">
              <w:rPr>
                <w:rFonts w:ascii="Times New Roman" w:hAnsi="Times New Roman" w:cs="Times New Roman"/>
                <w:sz w:val="24"/>
                <w:szCs w:val="24"/>
              </w:rPr>
              <w:t xml:space="preserve"> </w:t>
            </w:r>
            <w:r>
              <w:rPr>
                <w:rFonts w:ascii="Times New Roman" w:hAnsi="Times New Roman" w:cs="Times New Roman"/>
                <w:sz w:val="24"/>
                <w:szCs w:val="24"/>
              </w:rPr>
              <w:t>açık rızası doğrultusunda</w:t>
            </w:r>
            <w:r w:rsidRPr="005521DB">
              <w:rPr>
                <w:rFonts w:ascii="Times New Roman" w:hAnsi="Times New Roman" w:cs="Times New Roman"/>
                <w:sz w:val="24"/>
                <w:szCs w:val="24"/>
              </w:rPr>
              <w:t xml:space="preserve"> saklanmaktadır.</w:t>
            </w:r>
          </w:p>
        </w:tc>
      </w:tr>
      <w:tr w:rsidR="001125CC" w:rsidRPr="005521DB" w14:paraId="3D5431D0" w14:textId="77777777" w:rsidTr="00FF1C11">
        <w:trPr>
          <w:cnfStyle w:val="000000100000" w:firstRow="0" w:lastRow="0" w:firstColumn="0" w:lastColumn="0" w:oddVBand="0" w:evenVBand="0" w:oddHBand="1"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32562A3D" w14:textId="77777777" w:rsidR="001125CC" w:rsidRDefault="001125CC" w:rsidP="00FF1C11">
            <w:pPr>
              <w:spacing w:line="276" w:lineRule="auto"/>
              <w:jc w:val="center"/>
              <w:rPr>
                <w:rFonts w:ascii="Times New Roman" w:hAnsi="Times New Roman" w:cs="Times New Roman"/>
                <w:b w:val="0"/>
                <w:sz w:val="24"/>
                <w:szCs w:val="24"/>
              </w:rPr>
            </w:pPr>
            <w:r w:rsidRPr="001C6279">
              <w:rPr>
                <w:rFonts w:ascii="Times New Roman" w:hAnsi="Times New Roman" w:cs="Times New Roman"/>
                <w:b w:val="0"/>
                <w:sz w:val="24"/>
                <w:szCs w:val="24"/>
              </w:rPr>
              <w:t>Muhasebe</w:t>
            </w:r>
            <w:r>
              <w:rPr>
                <w:rFonts w:ascii="Times New Roman" w:hAnsi="Times New Roman" w:cs="Times New Roman"/>
                <w:b w:val="0"/>
                <w:sz w:val="24"/>
                <w:szCs w:val="24"/>
              </w:rPr>
              <w:t xml:space="preserve"> ve finans </w:t>
            </w:r>
            <w:r w:rsidRPr="001C6279">
              <w:rPr>
                <w:rFonts w:ascii="Times New Roman" w:hAnsi="Times New Roman" w:cs="Times New Roman"/>
                <w:b w:val="0"/>
                <w:sz w:val="24"/>
                <w:szCs w:val="24"/>
              </w:rPr>
              <w:t>departmanındaki kişisel veriler</w:t>
            </w:r>
          </w:p>
          <w:p w14:paraId="2E9F2AA5" w14:textId="77777777" w:rsidR="001125CC" w:rsidRDefault="001125CC" w:rsidP="00FF1C11">
            <w:pPr>
              <w:spacing w:line="276" w:lineRule="auto"/>
              <w:jc w:val="center"/>
              <w:rPr>
                <w:rFonts w:ascii="Times New Roman" w:hAnsi="Times New Roman" w:cs="Times New Roman"/>
                <w:sz w:val="24"/>
                <w:szCs w:val="24"/>
              </w:rPr>
            </w:pPr>
            <w:r>
              <w:rPr>
                <w:rFonts w:ascii="Times New Roman" w:hAnsi="Times New Roman" w:cs="Times New Roman"/>
                <w:b w:val="0"/>
                <w:sz w:val="24"/>
                <w:szCs w:val="24"/>
              </w:rPr>
              <w:t>(Finansal Veriler)</w:t>
            </w:r>
          </w:p>
        </w:tc>
        <w:tc>
          <w:tcPr>
            <w:tcW w:w="2977" w:type="dxa"/>
          </w:tcPr>
          <w:p w14:paraId="2B33D688" w14:textId="77777777" w:rsidR="001125CC"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213 sayılı Vergi Usul Kanunu uyarınca 5 yıl ve 6102 sayılı Türk Ticaret Kanunu uyarınca 10 yıl</w:t>
            </w:r>
            <w:r w:rsidRPr="001C6279">
              <w:rPr>
                <w:rFonts w:ascii="Times New Roman" w:hAnsi="Times New Roman" w:cs="Times New Roman"/>
                <w:sz w:val="24"/>
                <w:szCs w:val="24"/>
              </w:rPr>
              <w:t xml:space="preserve"> </w:t>
            </w:r>
            <w:r>
              <w:rPr>
                <w:rFonts w:ascii="Times New Roman" w:hAnsi="Times New Roman" w:cs="Times New Roman"/>
                <w:sz w:val="24"/>
                <w:szCs w:val="24"/>
              </w:rPr>
              <w:t>boyunca saklanır ve bu süre sonunda imha edilir.</w:t>
            </w:r>
            <w:r w:rsidRPr="001C6279">
              <w:rPr>
                <w:rFonts w:ascii="Times New Roman" w:hAnsi="Times New Roman" w:cs="Times New Roman"/>
                <w:sz w:val="24"/>
                <w:szCs w:val="24"/>
              </w:rPr>
              <w:t xml:space="preserve"> </w:t>
            </w:r>
          </w:p>
        </w:tc>
        <w:tc>
          <w:tcPr>
            <w:tcW w:w="3870" w:type="dxa"/>
          </w:tcPr>
          <w:p w14:paraId="7EB9EA08" w14:textId="77777777" w:rsidR="001125CC"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21DB">
              <w:rPr>
                <w:rFonts w:ascii="Times New Roman" w:hAnsi="Times New Roman" w:cs="Times New Roman"/>
                <w:sz w:val="24"/>
                <w:szCs w:val="24"/>
              </w:rPr>
              <w:t>6102 sayılı Türk Ticaret Kanunu, 6098 sayılı Türk Borçlar Kanunu ve zamanaşımı sürelerinin düzenlendiği ilgili diğer mevzuat.</w:t>
            </w:r>
          </w:p>
        </w:tc>
      </w:tr>
      <w:tr w:rsidR="001125CC" w:rsidRPr="005521DB" w14:paraId="44993A86" w14:textId="77777777" w:rsidTr="00FF1C11">
        <w:trPr>
          <w:trHeight w:val="1374"/>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6207CA9B" w14:textId="77777777" w:rsidR="001125CC" w:rsidRPr="00391E97" w:rsidRDefault="001125CC" w:rsidP="00FF1C11">
            <w:pPr>
              <w:spacing w:line="276" w:lineRule="auto"/>
              <w:jc w:val="center"/>
              <w:rPr>
                <w:rFonts w:ascii="Times New Roman" w:hAnsi="Times New Roman" w:cs="Times New Roman"/>
                <w:b w:val="0"/>
                <w:sz w:val="24"/>
                <w:szCs w:val="24"/>
              </w:rPr>
            </w:pPr>
            <w:r w:rsidRPr="00391E97">
              <w:rPr>
                <w:rFonts w:ascii="Times New Roman" w:hAnsi="Times New Roman" w:cs="Times New Roman"/>
                <w:b w:val="0"/>
                <w:sz w:val="24"/>
                <w:szCs w:val="24"/>
              </w:rPr>
              <w:t>Hukuki işlemler için tutulan veriler</w:t>
            </w:r>
          </w:p>
        </w:tc>
        <w:tc>
          <w:tcPr>
            <w:tcW w:w="2977" w:type="dxa"/>
          </w:tcPr>
          <w:p w14:paraId="5FF4988A" w14:textId="77777777" w:rsidR="001125CC"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Hukuki ilişki ve/veya uyuşmazlık devam ettiği süre boyunca ve sona ermesini takiben 10 yıl boyunca saklanır ve bu süre sonunda imha edilir. </w:t>
            </w:r>
          </w:p>
        </w:tc>
        <w:tc>
          <w:tcPr>
            <w:tcW w:w="3870" w:type="dxa"/>
          </w:tcPr>
          <w:p w14:paraId="458CC61E"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KVKK’ya</w:t>
            </w:r>
            <w:proofErr w:type="spellEnd"/>
            <w:r w:rsidRPr="005521DB">
              <w:rPr>
                <w:rFonts w:ascii="Times New Roman" w:hAnsi="Times New Roman" w:cs="Times New Roman"/>
                <w:sz w:val="24"/>
                <w:szCs w:val="24"/>
              </w:rPr>
              <w:t xml:space="preserve"> uygun olarak veri sorumlusu Şirket</w:t>
            </w:r>
            <w:r>
              <w:rPr>
                <w:rFonts w:ascii="Times New Roman" w:hAnsi="Times New Roman" w:cs="Times New Roman"/>
                <w:sz w:val="24"/>
                <w:szCs w:val="24"/>
              </w:rPr>
              <w:t>’</w:t>
            </w:r>
            <w:r w:rsidRPr="005521DB">
              <w:rPr>
                <w:rFonts w:ascii="Times New Roman" w:hAnsi="Times New Roman" w:cs="Times New Roman"/>
                <w:sz w:val="24"/>
                <w:szCs w:val="24"/>
              </w:rPr>
              <w:t>i</w:t>
            </w:r>
            <w:r>
              <w:rPr>
                <w:rFonts w:ascii="Times New Roman" w:hAnsi="Times New Roman" w:cs="Times New Roman"/>
                <w:sz w:val="24"/>
                <w:szCs w:val="24"/>
              </w:rPr>
              <w:t xml:space="preserve">n meşru menfaatleri kapsamında </w:t>
            </w:r>
            <w:r w:rsidRPr="005521DB">
              <w:rPr>
                <w:rFonts w:ascii="Times New Roman" w:hAnsi="Times New Roman" w:cs="Times New Roman"/>
                <w:sz w:val="24"/>
                <w:szCs w:val="24"/>
              </w:rPr>
              <w:t>saklanmaktadır.</w:t>
            </w:r>
          </w:p>
        </w:tc>
      </w:tr>
      <w:tr w:rsidR="001125CC" w:rsidRPr="005521DB" w14:paraId="02A3F8DB" w14:textId="77777777" w:rsidTr="00FF1C11">
        <w:trPr>
          <w:cnfStyle w:val="000000100000" w:firstRow="0" w:lastRow="0" w:firstColumn="0" w:lastColumn="0" w:oddVBand="0" w:evenVBand="0" w:oddHBand="1" w:evenHBand="0" w:firstRowFirstColumn="0" w:firstRowLastColumn="0" w:lastRowFirstColumn="0" w:lastRowLastColumn="0"/>
          <w:trHeight w:val="2013"/>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45670769" w14:textId="77777777" w:rsidR="001125CC" w:rsidRPr="005521DB" w:rsidRDefault="001125CC" w:rsidP="00FF1C11">
            <w:pPr>
              <w:spacing w:line="276" w:lineRule="auto"/>
              <w:jc w:val="center"/>
              <w:rPr>
                <w:rFonts w:ascii="Times New Roman" w:hAnsi="Times New Roman" w:cs="Times New Roman"/>
                <w:b w:val="0"/>
                <w:sz w:val="24"/>
                <w:szCs w:val="24"/>
              </w:rPr>
            </w:pPr>
            <w:r w:rsidRPr="005521DB">
              <w:rPr>
                <w:rFonts w:ascii="Times New Roman" w:hAnsi="Times New Roman" w:cs="Times New Roman"/>
                <w:b w:val="0"/>
                <w:sz w:val="24"/>
                <w:szCs w:val="24"/>
              </w:rPr>
              <w:t xml:space="preserve">Şirketin mal ve/veya hizmet almakta olduğu </w:t>
            </w:r>
            <w:r>
              <w:rPr>
                <w:rFonts w:ascii="Times New Roman" w:hAnsi="Times New Roman" w:cs="Times New Roman"/>
                <w:b w:val="0"/>
                <w:sz w:val="24"/>
                <w:szCs w:val="24"/>
              </w:rPr>
              <w:t>üçüncü kişilere,</w:t>
            </w:r>
            <w:r w:rsidRPr="005521DB">
              <w:rPr>
                <w:rFonts w:ascii="Times New Roman" w:hAnsi="Times New Roman" w:cs="Times New Roman"/>
                <w:b w:val="0"/>
                <w:sz w:val="24"/>
                <w:szCs w:val="24"/>
              </w:rPr>
              <w:t xml:space="preserve"> </w:t>
            </w:r>
            <w:r>
              <w:rPr>
                <w:rFonts w:ascii="Times New Roman" w:hAnsi="Times New Roman" w:cs="Times New Roman"/>
                <w:b w:val="0"/>
                <w:sz w:val="24"/>
                <w:szCs w:val="24"/>
              </w:rPr>
              <w:t>bunların</w:t>
            </w:r>
            <w:r w:rsidRPr="005521DB">
              <w:rPr>
                <w:rFonts w:ascii="Times New Roman" w:hAnsi="Times New Roman" w:cs="Times New Roman"/>
                <w:b w:val="0"/>
                <w:sz w:val="24"/>
                <w:szCs w:val="24"/>
              </w:rPr>
              <w:t xml:space="preserve"> temsilci</w:t>
            </w:r>
            <w:r>
              <w:rPr>
                <w:rFonts w:ascii="Times New Roman" w:hAnsi="Times New Roman" w:cs="Times New Roman"/>
                <w:b w:val="0"/>
                <w:sz w:val="24"/>
                <w:szCs w:val="24"/>
              </w:rPr>
              <w:t xml:space="preserve"> ve çalışanlarına</w:t>
            </w:r>
            <w:r w:rsidRPr="005521DB">
              <w:rPr>
                <w:rFonts w:ascii="Times New Roman" w:hAnsi="Times New Roman" w:cs="Times New Roman"/>
                <w:b w:val="0"/>
                <w:sz w:val="24"/>
                <w:szCs w:val="24"/>
              </w:rPr>
              <w:t xml:space="preserve"> ilişkin kişisel veriler</w:t>
            </w:r>
          </w:p>
        </w:tc>
        <w:tc>
          <w:tcPr>
            <w:tcW w:w="2977" w:type="dxa"/>
          </w:tcPr>
          <w:p w14:paraId="1C943418"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Ticari ilişki</w:t>
            </w:r>
            <w:r w:rsidRPr="00FD224A">
              <w:rPr>
                <w:rFonts w:ascii="Times New Roman" w:hAnsi="Times New Roman" w:cs="Times New Roman"/>
                <w:sz w:val="24"/>
                <w:szCs w:val="24"/>
              </w:rPr>
              <w:t xml:space="preserve"> devam ettiği sürece ve </w:t>
            </w:r>
            <w:r>
              <w:rPr>
                <w:rFonts w:ascii="Times New Roman" w:hAnsi="Times New Roman" w:cs="Times New Roman"/>
                <w:sz w:val="24"/>
                <w:szCs w:val="24"/>
              </w:rPr>
              <w:t>ticari ilişki</w:t>
            </w:r>
            <w:r w:rsidRPr="00FD224A">
              <w:rPr>
                <w:rFonts w:ascii="Times New Roman" w:hAnsi="Times New Roman" w:cs="Times New Roman"/>
                <w:sz w:val="24"/>
                <w:szCs w:val="24"/>
              </w:rPr>
              <w:t>nin bitişini takiben 10 yıl</w:t>
            </w:r>
            <w:r>
              <w:rPr>
                <w:rFonts w:ascii="Times New Roman" w:hAnsi="Times New Roman" w:cs="Times New Roman"/>
                <w:sz w:val="24"/>
                <w:szCs w:val="24"/>
              </w:rPr>
              <w:t xml:space="preserve"> boyunca saklanır ve bu süre sonunda imha edilir.</w:t>
            </w:r>
          </w:p>
        </w:tc>
        <w:tc>
          <w:tcPr>
            <w:tcW w:w="3870" w:type="dxa"/>
          </w:tcPr>
          <w:p w14:paraId="7C9F343D"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21DB">
              <w:rPr>
                <w:rFonts w:ascii="Times New Roman" w:hAnsi="Times New Roman" w:cs="Times New Roman"/>
                <w:sz w:val="24"/>
                <w:szCs w:val="24"/>
              </w:rPr>
              <w:t xml:space="preserve">6102 sayılı Türk Ticaret Kanunu, 6098 sayılı Türk Borçlar </w:t>
            </w:r>
            <w:proofErr w:type="gramStart"/>
            <w:r w:rsidRPr="005521DB">
              <w:rPr>
                <w:rFonts w:ascii="Times New Roman" w:hAnsi="Times New Roman" w:cs="Times New Roman"/>
                <w:sz w:val="24"/>
                <w:szCs w:val="24"/>
              </w:rPr>
              <w:t>Kanunu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521DB">
              <w:rPr>
                <w:rFonts w:ascii="Times New Roman" w:hAnsi="Times New Roman" w:cs="Times New Roman"/>
                <w:sz w:val="24"/>
                <w:szCs w:val="24"/>
              </w:rPr>
              <w:t>ve zamanaşımı sürelerinin düzenlendiği ilgili diğer mevzuat.</w:t>
            </w:r>
          </w:p>
        </w:tc>
      </w:tr>
      <w:tr w:rsidR="001125CC" w:rsidRPr="005521DB" w14:paraId="6120E089" w14:textId="77777777" w:rsidTr="00FF1C11">
        <w:trPr>
          <w:trHeight w:val="1491"/>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678EA43A" w14:textId="77777777" w:rsidR="001125CC" w:rsidRPr="005521DB" w:rsidRDefault="001125CC" w:rsidP="00FF1C11">
            <w:pPr>
              <w:spacing w:line="276" w:lineRule="auto"/>
              <w:jc w:val="center"/>
              <w:rPr>
                <w:rFonts w:ascii="Times New Roman" w:hAnsi="Times New Roman" w:cs="Times New Roman"/>
                <w:b w:val="0"/>
                <w:sz w:val="24"/>
                <w:szCs w:val="24"/>
              </w:rPr>
            </w:pPr>
            <w:r w:rsidRPr="005521DB">
              <w:rPr>
                <w:rFonts w:ascii="Times New Roman" w:hAnsi="Times New Roman" w:cs="Times New Roman"/>
                <w:b w:val="0"/>
                <w:sz w:val="24"/>
                <w:szCs w:val="24"/>
              </w:rPr>
              <w:lastRenderedPageBreak/>
              <w:t>Kapalı Devre Görüntüleme Sistemleri vasıtasıyla elde edilen kamera kayıtları</w:t>
            </w:r>
          </w:p>
        </w:tc>
        <w:tc>
          <w:tcPr>
            <w:tcW w:w="2977" w:type="dxa"/>
          </w:tcPr>
          <w:p w14:paraId="663F2787"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6279">
              <w:rPr>
                <w:rFonts w:ascii="Times New Roman" w:hAnsi="Times New Roman" w:cs="Times New Roman"/>
                <w:sz w:val="24"/>
                <w:szCs w:val="24"/>
              </w:rPr>
              <w:t>Adli vakıa veya re</w:t>
            </w:r>
            <w:r>
              <w:rPr>
                <w:rFonts w:ascii="Times New Roman" w:hAnsi="Times New Roman" w:cs="Times New Roman"/>
                <w:sz w:val="24"/>
                <w:szCs w:val="24"/>
              </w:rPr>
              <w:t xml:space="preserve">smi kurum talebi bulunmuyor ise üç ay süre ile saklanır ve bu süre sonunda imha edilir. </w:t>
            </w:r>
          </w:p>
        </w:tc>
        <w:tc>
          <w:tcPr>
            <w:tcW w:w="3870" w:type="dxa"/>
          </w:tcPr>
          <w:p w14:paraId="1FDC4A73"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KVKK’ya</w:t>
            </w:r>
            <w:proofErr w:type="spellEnd"/>
            <w:r w:rsidRPr="005521DB">
              <w:rPr>
                <w:rFonts w:ascii="Times New Roman" w:hAnsi="Times New Roman" w:cs="Times New Roman"/>
                <w:sz w:val="24"/>
                <w:szCs w:val="24"/>
              </w:rPr>
              <w:t xml:space="preserve"> uygun olarak veri sorumlusu Şirket</w:t>
            </w:r>
            <w:r>
              <w:rPr>
                <w:rFonts w:ascii="Times New Roman" w:hAnsi="Times New Roman" w:cs="Times New Roman"/>
                <w:sz w:val="24"/>
                <w:szCs w:val="24"/>
              </w:rPr>
              <w:t>’</w:t>
            </w:r>
            <w:r w:rsidRPr="005521DB">
              <w:rPr>
                <w:rFonts w:ascii="Times New Roman" w:hAnsi="Times New Roman" w:cs="Times New Roman"/>
                <w:sz w:val="24"/>
                <w:szCs w:val="24"/>
              </w:rPr>
              <w:t>i</w:t>
            </w:r>
            <w:r>
              <w:rPr>
                <w:rFonts w:ascii="Times New Roman" w:hAnsi="Times New Roman" w:cs="Times New Roman"/>
                <w:sz w:val="24"/>
                <w:szCs w:val="24"/>
              </w:rPr>
              <w:t xml:space="preserve">n meşru menfaatleri kapsamında </w:t>
            </w:r>
            <w:r w:rsidRPr="005521DB">
              <w:rPr>
                <w:rFonts w:ascii="Times New Roman" w:hAnsi="Times New Roman" w:cs="Times New Roman"/>
                <w:sz w:val="24"/>
                <w:szCs w:val="24"/>
              </w:rPr>
              <w:t>saklanmaktadır.</w:t>
            </w:r>
          </w:p>
        </w:tc>
      </w:tr>
      <w:tr w:rsidR="001125CC" w:rsidRPr="005521DB" w14:paraId="491BEB0A" w14:textId="77777777" w:rsidTr="00FF1C11">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4552E1E7" w14:textId="77777777" w:rsidR="001125CC" w:rsidRPr="005521DB" w:rsidRDefault="001125CC" w:rsidP="00FF1C11">
            <w:pPr>
              <w:spacing w:line="276" w:lineRule="auto"/>
              <w:jc w:val="center"/>
              <w:rPr>
                <w:rFonts w:ascii="Times New Roman" w:hAnsi="Times New Roman" w:cs="Times New Roman"/>
                <w:b w:val="0"/>
                <w:sz w:val="24"/>
                <w:szCs w:val="24"/>
              </w:rPr>
            </w:pPr>
            <w:r w:rsidRPr="005521DB">
              <w:rPr>
                <w:rFonts w:ascii="Times New Roman" w:hAnsi="Times New Roman" w:cs="Times New Roman"/>
                <w:b w:val="0"/>
                <w:sz w:val="24"/>
                <w:szCs w:val="24"/>
              </w:rPr>
              <w:t>Şirket içinde unutulan ve kişisel veri içeren eşyalar</w:t>
            </w:r>
          </w:p>
        </w:tc>
        <w:tc>
          <w:tcPr>
            <w:tcW w:w="2977" w:type="dxa"/>
          </w:tcPr>
          <w:p w14:paraId="17B1379B"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Eşya s</w:t>
            </w:r>
            <w:r w:rsidRPr="005521DB">
              <w:rPr>
                <w:rFonts w:ascii="Times New Roman" w:hAnsi="Times New Roman" w:cs="Times New Roman"/>
                <w:sz w:val="24"/>
                <w:szCs w:val="24"/>
              </w:rPr>
              <w:t xml:space="preserve">ahibine ulaşılamamış ise, </w:t>
            </w:r>
            <w:r>
              <w:rPr>
                <w:rFonts w:ascii="Times New Roman" w:hAnsi="Times New Roman" w:cs="Times New Roman"/>
                <w:sz w:val="24"/>
                <w:szCs w:val="24"/>
              </w:rPr>
              <w:t>[</w:t>
            </w:r>
            <w:r w:rsidRPr="00143E4F">
              <w:rPr>
                <w:rFonts w:ascii="Times New Roman" w:hAnsi="Times New Roman" w:cs="Times New Roman"/>
                <w:sz w:val="24"/>
                <w:szCs w:val="24"/>
              </w:rPr>
              <w:t>en çok 6</w:t>
            </w:r>
            <w:r>
              <w:rPr>
                <w:rFonts w:ascii="Times New Roman" w:hAnsi="Times New Roman" w:cs="Times New Roman"/>
                <w:sz w:val="24"/>
                <w:szCs w:val="24"/>
              </w:rPr>
              <w:t>]</w:t>
            </w:r>
            <w:r w:rsidRPr="005521DB">
              <w:rPr>
                <w:rFonts w:ascii="Times New Roman" w:hAnsi="Times New Roman" w:cs="Times New Roman"/>
                <w:sz w:val="24"/>
                <w:szCs w:val="24"/>
              </w:rPr>
              <w:t xml:space="preserve"> ay süre ile muhafaza edilir. Süre bitiminde bir tutanak ile yok edilir.</w:t>
            </w:r>
          </w:p>
        </w:tc>
        <w:tc>
          <w:tcPr>
            <w:tcW w:w="3870" w:type="dxa"/>
          </w:tcPr>
          <w:p w14:paraId="04AF033D" w14:textId="77777777" w:rsidR="001125CC" w:rsidRPr="005521DB"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KVKK’ya</w:t>
            </w:r>
            <w:proofErr w:type="spellEnd"/>
            <w:r w:rsidRPr="005521DB">
              <w:rPr>
                <w:rFonts w:ascii="Times New Roman" w:hAnsi="Times New Roman" w:cs="Times New Roman"/>
                <w:sz w:val="24"/>
                <w:szCs w:val="24"/>
              </w:rPr>
              <w:t xml:space="preserve"> uygun olarak veri sorumlusu Şirket</w:t>
            </w:r>
            <w:r>
              <w:rPr>
                <w:rFonts w:ascii="Times New Roman" w:hAnsi="Times New Roman" w:cs="Times New Roman"/>
                <w:sz w:val="24"/>
                <w:szCs w:val="24"/>
              </w:rPr>
              <w:t>’</w:t>
            </w:r>
            <w:r w:rsidRPr="005521DB">
              <w:rPr>
                <w:rFonts w:ascii="Times New Roman" w:hAnsi="Times New Roman" w:cs="Times New Roman"/>
                <w:sz w:val="24"/>
                <w:szCs w:val="24"/>
              </w:rPr>
              <w:t>in meşru menfaatleri kapsamında</w:t>
            </w:r>
            <w:r>
              <w:rPr>
                <w:rFonts w:ascii="Times New Roman" w:hAnsi="Times New Roman" w:cs="Times New Roman"/>
                <w:sz w:val="24"/>
                <w:szCs w:val="24"/>
              </w:rPr>
              <w:t xml:space="preserve"> [en çok 6]</w:t>
            </w:r>
            <w:r w:rsidRPr="005521DB">
              <w:rPr>
                <w:rFonts w:ascii="Times New Roman" w:hAnsi="Times New Roman" w:cs="Times New Roman"/>
                <w:sz w:val="24"/>
                <w:szCs w:val="24"/>
              </w:rPr>
              <w:t xml:space="preserve"> aylık makul süre ile saklanmaktadır.</w:t>
            </w:r>
          </w:p>
        </w:tc>
      </w:tr>
      <w:tr w:rsidR="001125CC" w:rsidRPr="005521DB" w14:paraId="12150A67" w14:textId="77777777" w:rsidTr="00FF1C11">
        <w:trPr>
          <w:trHeight w:val="1457"/>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4F14BB18" w14:textId="77777777" w:rsidR="001125CC" w:rsidRDefault="001125CC" w:rsidP="00FF1C11">
            <w:pPr>
              <w:spacing w:line="276" w:lineRule="auto"/>
              <w:jc w:val="center"/>
              <w:rPr>
                <w:rFonts w:ascii="Times New Roman" w:hAnsi="Times New Roman" w:cs="Times New Roman"/>
                <w:b w:val="0"/>
                <w:sz w:val="24"/>
                <w:szCs w:val="24"/>
              </w:rPr>
            </w:pPr>
            <w:r w:rsidRPr="005521DB">
              <w:rPr>
                <w:rFonts w:ascii="Times New Roman" w:hAnsi="Times New Roman" w:cs="Times New Roman"/>
                <w:b w:val="0"/>
                <w:sz w:val="24"/>
                <w:szCs w:val="24"/>
              </w:rPr>
              <w:t xml:space="preserve">İş </w:t>
            </w:r>
            <w:r>
              <w:rPr>
                <w:rFonts w:ascii="Times New Roman" w:hAnsi="Times New Roman" w:cs="Times New Roman"/>
                <w:b w:val="0"/>
                <w:sz w:val="24"/>
                <w:szCs w:val="24"/>
              </w:rPr>
              <w:t xml:space="preserve">ve Staj </w:t>
            </w:r>
            <w:r w:rsidRPr="005521DB">
              <w:rPr>
                <w:rFonts w:ascii="Times New Roman" w:hAnsi="Times New Roman" w:cs="Times New Roman"/>
                <w:b w:val="0"/>
                <w:sz w:val="24"/>
                <w:szCs w:val="24"/>
              </w:rPr>
              <w:t>Başvuruları-Özgeçmişler</w:t>
            </w:r>
          </w:p>
          <w:p w14:paraId="695A671A" w14:textId="77777777" w:rsidR="001125CC" w:rsidRPr="005521DB" w:rsidRDefault="001125CC" w:rsidP="00FF1C11">
            <w:pPr>
              <w:spacing w:line="276" w:lineRule="auto"/>
              <w:jc w:val="center"/>
              <w:rPr>
                <w:rFonts w:ascii="Times New Roman" w:hAnsi="Times New Roman" w:cs="Times New Roman"/>
                <w:b w:val="0"/>
                <w:sz w:val="24"/>
                <w:szCs w:val="24"/>
              </w:rPr>
            </w:pPr>
            <w:r>
              <w:rPr>
                <w:rFonts w:ascii="Times New Roman" w:hAnsi="Times New Roman" w:cs="Times New Roman"/>
                <w:b w:val="0"/>
                <w:sz w:val="24"/>
                <w:szCs w:val="24"/>
              </w:rPr>
              <w:t xml:space="preserve"> (Mesleki Deneyim)</w:t>
            </w:r>
          </w:p>
        </w:tc>
        <w:tc>
          <w:tcPr>
            <w:tcW w:w="2977" w:type="dxa"/>
          </w:tcPr>
          <w:p w14:paraId="4C32330D"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21DB">
              <w:rPr>
                <w:rFonts w:ascii="Times New Roman" w:hAnsi="Times New Roman" w:cs="Times New Roman"/>
                <w:sz w:val="24"/>
                <w:szCs w:val="24"/>
              </w:rPr>
              <w:t>Başvurular,</w:t>
            </w:r>
            <w:r>
              <w:rPr>
                <w:rFonts w:ascii="Times New Roman" w:hAnsi="Times New Roman" w:cs="Times New Roman"/>
                <w:sz w:val="24"/>
                <w:szCs w:val="24"/>
              </w:rPr>
              <w:t xml:space="preserve"> ilgili kişinin açık rızası ile sisteme işlenir ve</w:t>
            </w:r>
            <w:r w:rsidRPr="005521DB">
              <w:rPr>
                <w:rFonts w:ascii="Times New Roman" w:hAnsi="Times New Roman" w:cs="Times New Roman"/>
                <w:sz w:val="24"/>
                <w:szCs w:val="24"/>
              </w:rPr>
              <w:t xml:space="preserve"> </w:t>
            </w:r>
            <w:r>
              <w:rPr>
                <w:rFonts w:ascii="Times New Roman" w:hAnsi="Times New Roman" w:cs="Times New Roman"/>
                <w:sz w:val="24"/>
                <w:szCs w:val="24"/>
              </w:rPr>
              <w:t>açık rıza verdiği süre sonuna kadar veya özgeçmiş sahibinin silme talebine kadar saklanır.</w:t>
            </w:r>
          </w:p>
        </w:tc>
        <w:tc>
          <w:tcPr>
            <w:tcW w:w="3870" w:type="dxa"/>
          </w:tcPr>
          <w:p w14:paraId="3CDD5510"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KVKK uyarınca b</w:t>
            </w:r>
            <w:r w:rsidRPr="005521DB">
              <w:rPr>
                <w:rFonts w:ascii="Times New Roman" w:hAnsi="Times New Roman" w:cs="Times New Roman"/>
                <w:sz w:val="24"/>
                <w:szCs w:val="24"/>
              </w:rPr>
              <w:t xml:space="preserve">aşvuru sahibinin </w:t>
            </w:r>
            <w:r>
              <w:rPr>
                <w:rFonts w:ascii="Times New Roman" w:hAnsi="Times New Roman" w:cs="Times New Roman"/>
                <w:sz w:val="24"/>
                <w:szCs w:val="24"/>
              </w:rPr>
              <w:t>açık rızası doğrultusunda</w:t>
            </w:r>
            <w:r w:rsidRPr="005521DB">
              <w:rPr>
                <w:rFonts w:ascii="Times New Roman" w:hAnsi="Times New Roman" w:cs="Times New Roman"/>
                <w:sz w:val="24"/>
                <w:szCs w:val="24"/>
              </w:rPr>
              <w:t xml:space="preserve"> saklanmaktadır.</w:t>
            </w:r>
          </w:p>
        </w:tc>
      </w:tr>
      <w:tr w:rsidR="001125CC" w:rsidRPr="005521DB" w14:paraId="38C43466" w14:textId="77777777" w:rsidTr="00FF1C11">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tcPr>
          <w:p w14:paraId="4C3CBEC0" w14:textId="77777777" w:rsidR="001125CC" w:rsidRDefault="001125CC" w:rsidP="00FF1C11">
            <w:pPr>
              <w:spacing w:line="276" w:lineRule="auto"/>
              <w:jc w:val="center"/>
              <w:rPr>
                <w:rFonts w:ascii="Times New Roman" w:hAnsi="Times New Roman" w:cs="Times New Roman"/>
                <w:b w:val="0"/>
                <w:sz w:val="24"/>
                <w:szCs w:val="24"/>
              </w:rPr>
            </w:pPr>
            <w:r>
              <w:rPr>
                <w:rFonts w:ascii="Times New Roman" w:hAnsi="Times New Roman" w:cs="Times New Roman"/>
                <w:b w:val="0"/>
                <w:sz w:val="24"/>
                <w:szCs w:val="24"/>
              </w:rPr>
              <w:t>Log kayıtları, IP adresleri vb. işlem güvenliği v</w:t>
            </w:r>
            <w:r w:rsidRPr="000B2D2C">
              <w:rPr>
                <w:rFonts w:ascii="Times New Roman" w:hAnsi="Times New Roman" w:cs="Times New Roman"/>
                <w:b w:val="0"/>
                <w:sz w:val="24"/>
                <w:szCs w:val="24"/>
              </w:rPr>
              <w:t>erileri</w:t>
            </w:r>
          </w:p>
          <w:p w14:paraId="516EA178" w14:textId="77777777" w:rsidR="001125CC" w:rsidRPr="000B2D2C" w:rsidRDefault="001125CC" w:rsidP="00FF1C11">
            <w:pPr>
              <w:spacing w:line="276" w:lineRule="auto"/>
              <w:jc w:val="center"/>
              <w:rPr>
                <w:rFonts w:ascii="Times New Roman" w:hAnsi="Times New Roman" w:cs="Times New Roman"/>
                <w:b w:val="0"/>
                <w:sz w:val="24"/>
                <w:szCs w:val="24"/>
              </w:rPr>
            </w:pPr>
          </w:p>
        </w:tc>
        <w:tc>
          <w:tcPr>
            <w:tcW w:w="2977" w:type="dxa"/>
          </w:tcPr>
          <w:p w14:paraId="1C354AA5" w14:textId="77777777" w:rsidR="001125CC" w:rsidRPr="000B2D2C"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Her 10 yılda bir temizlenir.</w:t>
            </w:r>
          </w:p>
        </w:tc>
        <w:tc>
          <w:tcPr>
            <w:tcW w:w="3870" w:type="dxa"/>
          </w:tcPr>
          <w:p w14:paraId="437D4B72" w14:textId="77777777" w:rsidR="001125CC" w:rsidRPr="000B2D2C" w:rsidRDefault="001125CC" w:rsidP="00FF1C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KVKK’ya</w:t>
            </w:r>
            <w:proofErr w:type="spellEnd"/>
            <w:r w:rsidRPr="005521DB">
              <w:rPr>
                <w:rFonts w:ascii="Times New Roman" w:hAnsi="Times New Roman" w:cs="Times New Roman"/>
                <w:sz w:val="24"/>
                <w:szCs w:val="24"/>
              </w:rPr>
              <w:t xml:space="preserve"> uygun olarak veri sorumlusu Şirket</w:t>
            </w:r>
            <w:r>
              <w:rPr>
                <w:rFonts w:ascii="Times New Roman" w:hAnsi="Times New Roman" w:cs="Times New Roman"/>
                <w:sz w:val="24"/>
                <w:szCs w:val="24"/>
              </w:rPr>
              <w:t>’</w:t>
            </w:r>
            <w:r w:rsidRPr="005521DB">
              <w:rPr>
                <w:rFonts w:ascii="Times New Roman" w:hAnsi="Times New Roman" w:cs="Times New Roman"/>
                <w:sz w:val="24"/>
                <w:szCs w:val="24"/>
              </w:rPr>
              <w:t>in meşru menfaatleri kapsamında saklanmaktadır.</w:t>
            </w:r>
          </w:p>
        </w:tc>
      </w:tr>
      <w:tr w:rsidR="001125CC" w:rsidRPr="005521DB" w14:paraId="1EE1F196" w14:textId="77777777" w:rsidTr="00FF1C11">
        <w:trPr>
          <w:trHeight w:val="1457"/>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tcBorders>
          </w:tcPr>
          <w:p w14:paraId="5A1AFAAE" w14:textId="77777777" w:rsidR="001125CC" w:rsidRPr="001C6279" w:rsidRDefault="001125CC" w:rsidP="00FF1C11">
            <w:pPr>
              <w:spacing w:line="276" w:lineRule="auto"/>
              <w:jc w:val="center"/>
              <w:rPr>
                <w:rFonts w:ascii="Times New Roman" w:hAnsi="Times New Roman" w:cs="Times New Roman"/>
                <w:b w:val="0"/>
                <w:sz w:val="24"/>
                <w:szCs w:val="24"/>
              </w:rPr>
            </w:pPr>
            <w:r w:rsidRPr="001C6279">
              <w:rPr>
                <w:rFonts w:ascii="Times New Roman" w:hAnsi="Times New Roman" w:cs="Times New Roman"/>
                <w:b w:val="0"/>
                <w:sz w:val="24"/>
                <w:szCs w:val="24"/>
              </w:rPr>
              <w:t>E-posta verileri</w:t>
            </w:r>
          </w:p>
        </w:tc>
        <w:tc>
          <w:tcPr>
            <w:tcW w:w="2977" w:type="dxa"/>
          </w:tcPr>
          <w:p w14:paraId="580FC5F1" w14:textId="77777777" w:rsidR="001125CC" w:rsidRPr="000D57D9" w:rsidRDefault="001125CC" w:rsidP="00FF1C11">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57D9">
              <w:rPr>
                <w:rFonts w:ascii="Times New Roman" w:hAnsi="Times New Roman" w:cs="Times New Roman"/>
                <w:sz w:val="24"/>
                <w:szCs w:val="24"/>
              </w:rPr>
              <w:t>İşçi ile işveren ilişkisi süresince ve iş ilişkisinin bitimini takiben 10 yıl boyunca saklanır ve bu süre sonunda imha edilir.</w:t>
            </w:r>
          </w:p>
          <w:p w14:paraId="70299B7E" w14:textId="77777777" w:rsidR="001125CC" w:rsidRPr="001C6279" w:rsidRDefault="001125CC" w:rsidP="00FF1C11">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57D9">
              <w:rPr>
                <w:rFonts w:ascii="Times New Roman" w:hAnsi="Times New Roman" w:cs="Times New Roman"/>
                <w:sz w:val="24"/>
                <w:szCs w:val="24"/>
              </w:rPr>
              <w:t>Ticari/hizmet ilişkileri için geriye dönük 10 yıl boyunca saklanır ve bu süre sonunda imha edilir.</w:t>
            </w:r>
          </w:p>
        </w:tc>
        <w:tc>
          <w:tcPr>
            <w:tcW w:w="3870" w:type="dxa"/>
          </w:tcPr>
          <w:p w14:paraId="073F3507" w14:textId="77777777" w:rsidR="001125CC" w:rsidRPr="005521DB" w:rsidRDefault="001125CC" w:rsidP="00FF1C1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KVKK’ya</w:t>
            </w:r>
            <w:proofErr w:type="spellEnd"/>
            <w:r w:rsidRPr="005521DB">
              <w:rPr>
                <w:rFonts w:ascii="Times New Roman" w:hAnsi="Times New Roman" w:cs="Times New Roman"/>
                <w:sz w:val="24"/>
                <w:szCs w:val="24"/>
              </w:rPr>
              <w:t xml:space="preserve"> uygun olarak veri sorumlusu Şirket</w:t>
            </w:r>
            <w:r>
              <w:rPr>
                <w:rFonts w:ascii="Times New Roman" w:hAnsi="Times New Roman" w:cs="Times New Roman"/>
                <w:sz w:val="24"/>
                <w:szCs w:val="24"/>
              </w:rPr>
              <w:t>’</w:t>
            </w:r>
            <w:r w:rsidRPr="005521DB">
              <w:rPr>
                <w:rFonts w:ascii="Times New Roman" w:hAnsi="Times New Roman" w:cs="Times New Roman"/>
                <w:sz w:val="24"/>
                <w:szCs w:val="24"/>
              </w:rPr>
              <w:t>in meşru menfaatleri kapsamında saklanmaktadır.</w:t>
            </w:r>
          </w:p>
        </w:tc>
      </w:tr>
    </w:tbl>
    <w:p w14:paraId="661D0614" w14:textId="77777777" w:rsidR="00D51D97" w:rsidRDefault="00D51D97" w:rsidP="00D51D97">
      <w:pPr>
        <w:jc w:val="both"/>
        <w:rPr>
          <w:rFonts w:ascii="Cambria" w:hAnsi="Cambria"/>
        </w:rPr>
      </w:pPr>
    </w:p>
    <w:tbl>
      <w:tblPr>
        <w:tblW w:w="0" w:type="auto"/>
        <w:jc w:val="right"/>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4526"/>
        <w:gridCol w:w="4111"/>
      </w:tblGrid>
      <w:tr w:rsidR="001125CC" w:rsidRPr="00667F08" w14:paraId="6B89FC9B" w14:textId="77777777" w:rsidTr="001772AF">
        <w:trPr>
          <w:jc w:val="right"/>
        </w:trPr>
        <w:tc>
          <w:tcPr>
            <w:tcW w:w="4526" w:type="dxa"/>
          </w:tcPr>
          <w:p w14:paraId="70B1AA1A" w14:textId="77777777" w:rsidR="001125CC" w:rsidRPr="00454DF0" w:rsidRDefault="001125CC" w:rsidP="00FF1C11">
            <w:pPr>
              <w:spacing w:line="276" w:lineRule="auto"/>
              <w:jc w:val="center"/>
              <w:rPr>
                <w:rFonts w:ascii="Times New Roman" w:hAnsi="Times New Roman" w:cs="Times New Roman"/>
              </w:rPr>
            </w:pPr>
            <w:r w:rsidRPr="00454DF0">
              <w:rPr>
                <w:rFonts w:ascii="Times New Roman" w:hAnsi="Times New Roman" w:cs="Times New Roman"/>
              </w:rPr>
              <w:t>Politika Güncelleme Tarihi</w:t>
            </w:r>
          </w:p>
        </w:tc>
        <w:tc>
          <w:tcPr>
            <w:tcW w:w="4111" w:type="dxa"/>
          </w:tcPr>
          <w:p w14:paraId="6AD7955D" w14:textId="77777777" w:rsidR="001125CC" w:rsidRPr="00454DF0" w:rsidRDefault="001125CC" w:rsidP="00FF1C11">
            <w:pPr>
              <w:spacing w:line="276" w:lineRule="auto"/>
              <w:jc w:val="center"/>
              <w:rPr>
                <w:rFonts w:ascii="Times New Roman" w:hAnsi="Times New Roman" w:cs="Times New Roman"/>
              </w:rPr>
            </w:pPr>
            <w:r w:rsidRPr="00454DF0">
              <w:rPr>
                <w:rFonts w:ascii="Times New Roman" w:hAnsi="Times New Roman" w:cs="Times New Roman"/>
              </w:rPr>
              <w:t>Değişiklikler</w:t>
            </w:r>
          </w:p>
        </w:tc>
      </w:tr>
      <w:tr w:rsidR="001125CC" w:rsidRPr="00667F08" w14:paraId="16E04B27" w14:textId="77777777" w:rsidTr="001772AF">
        <w:trPr>
          <w:jc w:val="right"/>
        </w:trPr>
        <w:tc>
          <w:tcPr>
            <w:tcW w:w="4526" w:type="dxa"/>
          </w:tcPr>
          <w:p w14:paraId="27ACAED6" w14:textId="77777777" w:rsidR="001125CC" w:rsidRPr="00454DF0" w:rsidRDefault="001125CC" w:rsidP="00FF1C11">
            <w:pPr>
              <w:spacing w:line="276" w:lineRule="auto"/>
              <w:rPr>
                <w:rFonts w:ascii="Times New Roman" w:hAnsi="Times New Roman" w:cs="Times New Roman"/>
              </w:rPr>
            </w:pPr>
          </w:p>
        </w:tc>
        <w:tc>
          <w:tcPr>
            <w:tcW w:w="4111" w:type="dxa"/>
          </w:tcPr>
          <w:p w14:paraId="26BC0A35" w14:textId="77777777" w:rsidR="001125CC" w:rsidRPr="00454DF0" w:rsidRDefault="001125CC" w:rsidP="00FF1C11">
            <w:pPr>
              <w:spacing w:line="276" w:lineRule="auto"/>
              <w:rPr>
                <w:rFonts w:ascii="Times New Roman" w:hAnsi="Times New Roman" w:cs="Times New Roman"/>
              </w:rPr>
            </w:pPr>
          </w:p>
        </w:tc>
      </w:tr>
      <w:tr w:rsidR="001125CC" w:rsidRPr="00667F08" w14:paraId="52883137" w14:textId="77777777" w:rsidTr="001772AF">
        <w:trPr>
          <w:jc w:val="right"/>
        </w:trPr>
        <w:tc>
          <w:tcPr>
            <w:tcW w:w="4526" w:type="dxa"/>
          </w:tcPr>
          <w:p w14:paraId="35AFDDFA" w14:textId="77777777" w:rsidR="001125CC" w:rsidRPr="00454DF0" w:rsidRDefault="001125CC" w:rsidP="00FF1C11">
            <w:pPr>
              <w:spacing w:line="276" w:lineRule="auto"/>
              <w:rPr>
                <w:rFonts w:ascii="Times New Roman" w:hAnsi="Times New Roman" w:cs="Times New Roman"/>
              </w:rPr>
            </w:pPr>
          </w:p>
        </w:tc>
        <w:tc>
          <w:tcPr>
            <w:tcW w:w="4111" w:type="dxa"/>
          </w:tcPr>
          <w:p w14:paraId="36E38C40" w14:textId="77777777" w:rsidR="001125CC" w:rsidRPr="00454DF0" w:rsidRDefault="001125CC" w:rsidP="00FF1C11">
            <w:pPr>
              <w:spacing w:line="276" w:lineRule="auto"/>
              <w:rPr>
                <w:rFonts w:ascii="Times New Roman" w:hAnsi="Times New Roman" w:cs="Times New Roman"/>
              </w:rPr>
            </w:pPr>
          </w:p>
        </w:tc>
      </w:tr>
    </w:tbl>
    <w:p w14:paraId="15B6727A" w14:textId="77777777" w:rsidR="00D51D97" w:rsidRPr="00D51D97" w:rsidRDefault="00D51D97" w:rsidP="001772AF">
      <w:pPr>
        <w:jc w:val="both"/>
        <w:rPr>
          <w:rFonts w:ascii="Cambria" w:hAnsi="Cambria"/>
        </w:rPr>
      </w:pPr>
    </w:p>
    <w:sectPr w:rsidR="00D51D97" w:rsidRPr="00D51D9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4179" w14:textId="77777777" w:rsidR="00232784" w:rsidRDefault="00232784" w:rsidP="001772AF">
      <w:pPr>
        <w:spacing w:after="0" w:line="240" w:lineRule="auto"/>
      </w:pPr>
      <w:r>
        <w:separator/>
      </w:r>
    </w:p>
  </w:endnote>
  <w:endnote w:type="continuationSeparator" w:id="0">
    <w:p w14:paraId="3A3E891A" w14:textId="77777777" w:rsidR="00232784" w:rsidRDefault="00232784" w:rsidP="0017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11587643"/>
      <w:docPartObj>
        <w:docPartGallery w:val="Page Numbers (Bottom of Page)"/>
        <w:docPartUnique/>
      </w:docPartObj>
    </w:sdtPr>
    <w:sdtContent>
      <w:p w14:paraId="21675A21" w14:textId="3E0D3159" w:rsidR="001772AF" w:rsidRDefault="001772AF" w:rsidP="00BB295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3744D093" w14:textId="77777777" w:rsidR="001772AF" w:rsidRDefault="001772AF" w:rsidP="001772A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385168654"/>
      <w:docPartObj>
        <w:docPartGallery w:val="Page Numbers (Bottom of Page)"/>
        <w:docPartUnique/>
      </w:docPartObj>
    </w:sdtPr>
    <w:sdtContent>
      <w:p w14:paraId="34E14715" w14:textId="400FEEA2" w:rsidR="001772AF" w:rsidRDefault="001772AF" w:rsidP="00BB295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8381E0D" w14:textId="77777777" w:rsidR="001772AF" w:rsidRDefault="001772AF" w:rsidP="001772AF">
    <w:pPr>
      <w:pStyle w:val="AltBilgi"/>
      <w:ind w:right="360"/>
      <w:jc w:val="center"/>
      <w:rPr>
        <w:rFonts w:ascii="Cambria" w:hAnsi="Cambria"/>
        <w:b/>
        <w:bCs/>
        <w:color w:val="2E74B5" w:themeColor="accent5" w:themeShade="BF"/>
        <w:sz w:val="21"/>
        <w:szCs w:val="21"/>
      </w:rPr>
    </w:pPr>
    <w:r>
      <w:rPr>
        <w:rFonts w:ascii="Cambria" w:hAnsi="Cambria"/>
        <w:b/>
        <w:bCs/>
        <w:color w:val="2E74B5" w:themeColor="accent5" w:themeShade="BF"/>
        <w:sz w:val="21"/>
        <w:szCs w:val="21"/>
      </w:rPr>
      <w:t>KSS Güvenlik Hizmetleri Limited Şirketi</w:t>
    </w:r>
  </w:p>
  <w:p w14:paraId="1BE5DE8C" w14:textId="77777777" w:rsidR="001772AF" w:rsidRDefault="001772AF" w:rsidP="001772AF">
    <w:pPr>
      <w:pStyle w:val="AltBilgi"/>
      <w:jc w:val="center"/>
      <w:rPr>
        <w:rFonts w:ascii="Cambria" w:hAnsi="Cambria"/>
        <w:sz w:val="21"/>
        <w:szCs w:val="21"/>
      </w:rPr>
    </w:pPr>
    <w:r>
      <w:rPr>
        <w:rFonts w:ascii="Cambria" w:hAnsi="Cambria"/>
        <w:b/>
        <w:bCs/>
        <w:sz w:val="21"/>
        <w:szCs w:val="21"/>
      </w:rPr>
      <w:t>Vergi No</w:t>
    </w:r>
    <w:r>
      <w:rPr>
        <w:rFonts w:ascii="Cambria" w:hAnsi="Cambria"/>
        <w:sz w:val="21"/>
        <w:szCs w:val="21"/>
      </w:rPr>
      <w:t>: 0861278790/ Yamanlar V.D.</w:t>
    </w:r>
  </w:p>
  <w:p w14:paraId="076021F5" w14:textId="1F216848" w:rsidR="001772AF" w:rsidRPr="001772AF" w:rsidRDefault="001772AF" w:rsidP="001772AF">
    <w:pPr>
      <w:pStyle w:val="AltBilgi"/>
      <w:jc w:val="center"/>
      <w:rPr>
        <w:rFonts w:ascii="Cambria" w:hAnsi="Cambria"/>
        <w:sz w:val="21"/>
        <w:szCs w:val="21"/>
      </w:rPr>
    </w:pPr>
    <w:r>
      <w:rPr>
        <w:rFonts w:ascii="Cambria" w:hAnsi="Cambria"/>
        <w:sz w:val="21"/>
        <w:szCs w:val="21"/>
      </w:rPr>
      <w:t xml:space="preserve">  Cumhuriyet Mah. 1595 </w:t>
    </w:r>
    <w:proofErr w:type="spellStart"/>
    <w:r>
      <w:rPr>
        <w:rFonts w:ascii="Cambria" w:hAnsi="Cambria"/>
        <w:sz w:val="21"/>
        <w:szCs w:val="21"/>
      </w:rPr>
      <w:t>Sk</w:t>
    </w:r>
    <w:proofErr w:type="spellEnd"/>
    <w:r>
      <w:rPr>
        <w:rFonts w:ascii="Cambria" w:hAnsi="Cambria"/>
        <w:sz w:val="21"/>
        <w:szCs w:val="21"/>
      </w:rPr>
      <w:t>. Kazım Sop İş Merkezi No:223 İç Kapı No:301 Karşıyaka/İzmir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FC1A" w14:textId="77777777" w:rsidR="00232784" w:rsidRDefault="00232784" w:rsidP="001772AF">
      <w:pPr>
        <w:spacing w:after="0" w:line="240" w:lineRule="auto"/>
      </w:pPr>
      <w:r>
        <w:separator/>
      </w:r>
    </w:p>
  </w:footnote>
  <w:footnote w:type="continuationSeparator" w:id="0">
    <w:p w14:paraId="237B711A" w14:textId="77777777" w:rsidR="00232784" w:rsidRDefault="00232784" w:rsidP="00177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D1D"/>
    <w:multiLevelType w:val="hybridMultilevel"/>
    <w:tmpl w:val="FB5803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529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45"/>
    <w:rsid w:val="001125CC"/>
    <w:rsid w:val="001772AF"/>
    <w:rsid w:val="00232784"/>
    <w:rsid w:val="003E2C1E"/>
    <w:rsid w:val="004877A3"/>
    <w:rsid w:val="005E320B"/>
    <w:rsid w:val="00886C2F"/>
    <w:rsid w:val="00D51D97"/>
    <w:rsid w:val="00E34B45"/>
    <w:rsid w:val="00EF5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8A8D485"/>
  <w15:chartTrackingRefBased/>
  <w15:docId w15:val="{C571B160-9D73-134C-A97D-8F7A7D09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45"/>
  </w:style>
  <w:style w:type="paragraph" w:styleId="Balk1">
    <w:name w:val="heading 1"/>
    <w:basedOn w:val="Normal"/>
    <w:next w:val="Normal"/>
    <w:link w:val="Balk1Char"/>
    <w:uiPriority w:val="9"/>
    <w:qFormat/>
    <w:rsid w:val="00E34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4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4B4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4B4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4B4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4B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4B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4B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4B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4B4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4B4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4B4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4B4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4B4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4B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4B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4B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4B45"/>
    <w:rPr>
      <w:rFonts w:eastAsiaTheme="majorEastAsia" w:cstheme="majorBidi"/>
      <w:color w:val="272727" w:themeColor="text1" w:themeTint="D8"/>
    </w:rPr>
  </w:style>
  <w:style w:type="paragraph" w:styleId="KonuBal">
    <w:name w:val="Title"/>
    <w:basedOn w:val="Normal"/>
    <w:next w:val="Normal"/>
    <w:link w:val="KonuBalChar"/>
    <w:uiPriority w:val="10"/>
    <w:qFormat/>
    <w:rsid w:val="00E3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4B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4B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4B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4B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4B45"/>
    <w:rPr>
      <w:i/>
      <w:iCs/>
      <w:color w:val="404040" w:themeColor="text1" w:themeTint="BF"/>
    </w:rPr>
  </w:style>
  <w:style w:type="paragraph" w:styleId="ListeParagraf">
    <w:name w:val="List Paragraph"/>
    <w:basedOn w:val="Normal"/>
    <w:uiPriority w:val="34"/>
    <w:qFormat/>
    <w:rsid w:val="00E34B45"/>
    <w:pPr>
      <w:ind w:left="720"/>
      <w:contextualSpacing/>
    </w:pPr>
  </w:style>
  <w:style w:type="character" w:styleId="GlVurgulama">
    <w:name w:val="Intense Emphasis"/>
    <w:basedOn w:val="VarsaylanParagrafYazTipi"/>
    <w:uiPriority w:val="21"/>
    <w:qFormat/>
    <w:rsid w:val="00E34B45"/>
    <w:rPr>
      <w:i/>
      <w:iCs/>
      <w:color w:val="2F5496" w:themeColor="accent1" w:themeShade="BF"/>
    </w:rPr>
  </w:style>
  <w:style w:type="paragraph" w:styleId="GlAlnt">
    <w:name w:val="Intense Quote"/>
    <w:basedOn w:val="Normal"/>
    <w:next w:val="Normal"/>
    <w:link w:val="GlAlntChar"/>
    <w:uiPriority w:val="30"/>
    <w:qFormat/>
    <w:rsid w:val="00E34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4B45"/>
    <w:rPr>
      <w:i/>
      <w:iCs/>
      <w:color w:val="2F5496" w:themeColor="accent1" w:themeShade="BF"/>
    </w:rPr>
  </w:style>
  <w:style w:type="character" w:styleId="GlBavuru">
    <w:name w:val="Intense Reference"/>
    <w:basedOn w:val="VarsaylanParagrafYazTipi"/>
    <w:uiPriority w:val="32"/>
    <w:qFormat/>
    <w:rsid w:val="00E34B45"/>
    <w:rPr>
      <w:b/>
      <w:bCs/>
      <w:smallCaps/>
      <w:color w:val="2F5496" w:themeColor="accent1" w:themeShade="BF"/>
      <w:spacing w:val="5"/>
    </w:rPr>
  </w:style>
  <w:style w:type="table" w:styleId="TabloKlavuzu">
    <w:name w:val="Table Grid"/>
    <w:basedOn w:val="NormalTablo"/>
    <w:uiPriority w:val="39"/>
    <w:rsid w:val="00E34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NormalTablo"/>
    <w:uiPriority w:val="50"/>
    <w:rsid w:val="001125CC"/>
    <w:pPr>
      <w:spacing w:after="0" w:line="240" w:lineRule="auto"/>
      <w:ind w:firstLine="360"/>
    </w:pPr>
    <w:rPr>
      <w:rFonts w:eastAsiaTheme="minorEastAsia"/>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tBilgi">
    <w:name w:val="header"/>
    <w:basedOn w:val="Normal"/>
    <w:link w:val="stBilgiChar"/>
    <w:uiPriority w:val="99"/>
    <w:unhideWhenUsed/>
    <w:rsid w:val="001772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2AF"/>
  </w:style>
  <w:style w:type="paragraph" w:styleId="AltBilgi">
    <w:name w:val="footer"/>
    <w:basedOn w:val="Normal"/>
    <w:link w:val="AltBilgiChar"/>
    <w:uiPriority w:val="99"/>
    <w:unhideWhenUsed/>
    <w:rsid w:val="001772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2AF"/>
  </w:style>
  <w:style w:type="character" w:styleId="SayfaNumaras">
    <w:name w:val="page number"/>
    <w:basedOn w:val="VarsaylanParagrafYazTipi"/>
    <w:uiPriority w:val="99"/>
    <w:semiHidden/>
    <w:unhideWhenUsed/>
    <w:rsid w:val="0017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1885</Words>
  <Characters>10748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Aksoy</dc:creator>
  <cp:keywords/>
  <dc:description/>
  <cp:lastModifiedBy>Sıla Aksoy</cp:lastModifiedBy>
  <cp:revision>4</cp:revision>
  <dcterms:created xsi:type="dcterms:W3CDTF">2026-01-18T12:59:00Z</dcterms:created>
  <dcterms:modified xsi:type="dcterms:W3CDTF">2026-04-18T11:32:00Z</dcterms:modified>
</cp:coreProperties>
</file>